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7E61" w14:textId="52EE85FA" w:rsidR="00F02846" w:rsidRPr="007841FE" w:rsidRDefault="00CF00D0" w:rsidP="00F02846">
      <w:pPr>
        <w:pStyle w:val="NoSpacing"/>
        <w:jc w:val="center"/>
        <w:rPr>
          <w:b/>
          <w:bCs/>
        </w:rPr>
      </w:pPr>
      <w:r w:rsidRPr="007841FE">
        <w:rPr>
          <w:b/>
          <w:bCs/>
        </w:rPr>
        <w:t>Tavistock Investments Plc</w:t>
      </w:r>
    </w:p>
    <w:p w14:paraId="72AF71F4" w14:textId="745363CC" w:rsidR="00D47595" w:rsidRPr="007841FE" w:rsidRDefault="00CF00D0" w:rsidP="007841FE">
      <w:pPr>
        <w:pStyle w:val="NoSpacing"/>
        <w:jc w:val="center"/>
        <w:rPr>
          <w:b/>
          <w:bCs/>
        </w:rPr>
      </w:pPr>
      <w:r w:rsidRPr="007841FE">
        <w:rPr>
          <w:b/>
          <w:bCs/>
        </w:rPr>
        <w:t>("Tavistock" or the "Company")</w:t>
      </w:r>
    </w:p>
    <w:p w14:paraId="3E288C29" w14:textId="77777777" w:rsidR="00D47595" w:rsidRPr="007841FE" w:rsidRDefault="00D47595" w:rsidP="007841FE">
      <w:pPr>
        <w:pStyle w:val="NoSpacing"/>
        <w:jc w:val="center"/>
        <w:rPr>
          <w:b/>
          <w:bCs/>
        </w:rPr>
      </w:pPr>
    </w:p>
    <w:p w14:paraId="6A5B6C86" w14:textId="1F14FE29" w:rsidR="00CF00D0" w:rsidRPr="007841FE" w:rsidRDefault="00AD546C" w:rsidP="007841FE">
      <w:pPr>
        <w:pStyle w:val="NoSpacing"/>
        <w:jc w:val="center"/>
        <w:rPr>
          <w:rFonts w:eastAsia="Times New Roman"/>
          <w:b/>
          <w:bCs/>
          <w:kern w:val="36"/>
          <w:lang w:eastAsia="en-GB"/>
        </w:rPr>
      </w:pPr>
      <w:r>
        <w:rPr>
          <w:rFonts w:eastAsia="Times New Roman"/>
          <w:b/>
          <w:bCs/>
          <w:kern w:val="36"/>
          <w:lang w:eastAsia="en-GB"/>
        </w:rPr>
        <w:t>Buyback shares cancelled</w:t>
      </w:r>
    </w:p>
    <w:p w14:paraId="702D41D0" w14:textId="7BBAF007" w:rsidR="00A95094" w:rsidRPr="00CF00D0" w:rsidRDefault="00A95094" w:rsidP="007841FE">
      <w:pPr>
        <w:pStyle w:val="NoSpacing"/>
      </w:pPr>
    </w:p>
    <w:p w14:paraId="4D9726A4" w14:textId="4B112A5A" w:rsidR="00CF00D0" w:rsidRPr="00CF00D0" w:rsidRDefault="00C45339" w:rsidP="007841FE">
      <w:pPr>
        <w:pStyle w:val="NoSpacing"/>
      </w:pPr>
      <w:r>
        <w:t>2</w:t>
      </w:r>
      <w:r w:rsidR="00134631">
        <w:t>2</w:t>
      </w:r>
      <w:r w:rsidR="00856DBD">
        <w:t xml:space="preserve"> </w:t>
      </w:r>
      <w:r w:rsidR="00134631">
        <w:t>November</w:t>
      </w:r>
      <w:r w:rsidR="00CF00D0" w:rsidRPr="00CF00D0">
        <w:t xml:space="preserve"> 202</w:t>
      </w:r>
      <w:r w:rsidR="00856DBD">
        <w:t>2</w:t>
      </w:r>
    </w:p>
    <w:p w14:paraId="5E986C9D" w14:textId="188B9F93" w:rsidR="00CF00D0" w:rsidRPr="00CF00D0" w:rsidRDefault="00CF00D0" w:rsidP="007841FE">
      <w:pPr>
        <w:pStyle w:val="NoSpacing"/>
      </w:pPr>
    </w:p>
    <w:p w14:paraId="627A4F95" w14:textId="7074D79B" w:rsidR="00E70211" w:rsidRDefault="00370578" w:rsidP="007841FE">
      <w:pPr>
        <w:pStyle w:val="NoSpacing"/>
        <w:jc w:val="both"/>
      </w:pPr>
      <w:r>
        <w:t>F</w:t>
      </w:r>
      <w:r w:rsidR="00C45339">
        <w:t xml:space="preserve">urther to the announcement </w:t>
      </w:r>
      <w:r>
        <w:t xml:space="preserve">made </w:t>
      </w:r>
      <w:r w:rsidR="00C45339">
        <w:t xml:space="preserve">on </w:t>
      </w:r>
      <w:r w:rsidR="00134631">
        <w:t xml:space="preserve">18 November </w:t>
      </w:r>
      <w:r w:rsidR="00F65D95">
        <w:t xml:space="preserve">2022, </w:t>
      </w:r>
      <w:r>
        <w:t xml:space="preserve">Tavistock now confirms that </w:t>
      </w:r>
      <w:r w:rsidR="00F65D95">
        <w:t xml:space="preserve">the </w:t>
      </w:r>
      <w:r w:rsidR="00346CC6">
        <w:t xml:space="preserve">300,000 </w:t>
      </w:r>
      <w:r>
        <w:t>ordinary shares of 1p each that were acquired by the Company on that date</w:t>
      </w:r>
      <w:r w:rsidR="00346CC6">
        <w:t xml:space="preserve"> </w:t>
      </w:r>
      <w:r w:rsidR="00AD546C">
        <w:t xml:space="preserve">(the “Buyback Shares”) </w:t>
      </w:r>
      <w:r w:rsidR="00346CC6">
        <w:t>have been cancelled.</w:t>
      </w:r>
    </w:p>
    <w:p w14:paraId="5ECA3E87" w14:textId="0FCDB9D5" w:rsidR="0057705F" w:rsidRDefault="0057705F" w:rsidP="007841FE">
      <w:pPr>
        <w:pStyle w:val="NoSpacing"/>
        <w:jc w:val="both"/>
      </w:pPr>
    </w:p>
    <w:p w14:paraId="4291FE92" w14:textId="261ECCA0" w:rsidR="00346CC6" w:rsidRPr="00CC3020" w:rsidRDefault="00346CC6" w:rsidP="007841FE">
      <w:pPr>
        <w:pStyle w:val="NoSpacing"/>
        <w:jc w:val="both"/>
        <w:rPr>
          <w:b/>
          <w:bCs/>
        </w:rPr>
      </w:pPr>
      <w:r w:rsidRPr="00CC3020">
        <w:rPr>
          <w:b/>
          <w:bCs/>
        </w:rPr>
        <w:t xml:space="preserve">Total Voting Rights </w:t>
      </w:r>
    </w:p>
    <w:p w14:paraId="4AFCC771" w14:textId="77777777" w:rsidR="00346CC6" w:rsidRDefault="00346CC6" w:rsidP="007841FE">
      <w:pPr>
        <w:pStyle w:val="NoSpacing"/>
        <w:jc w:val="both"/>
      </w:pPr>
    </w:p>
    <w:p w14:paraId="7FA69BFF" w14:textId="16F3C8E3" w:rsidR="00CF00D0" w:rsidRDefault="00962DE2" w:rsidP="007841FE">
      <w:pPr>
        <w:pStyle w:val="NoSpacing"/>
        <w:jc w:val="both"/>
      </w:pPr>
      <w:r>
        <w:t>Now</w:t>
      </w:r>
      <w:r w:rsidR="008D43C7">
        <w:t xml:space="preserve"> the </w:t>
      </w:r>
      <w:r w:rsidR="008D43C7" w:rsidRPr="4DD4C02B">
        <w:t>Buyback Shares</w:t>
      </w:r>
      <w:r w:rsidR="008D43C7">
        <w:t xml:space="preserve"> have been</w:t>
      </w:r>
      <w:r w:rsidR="00D52129">
        <w:t xml:space="preserve"> cancelled</w:t>
      </w:r>
      <w:r w:rsidR="00D53F82" w:rsidRPr="4DD4C02B">
        <w:t xml:space="preserve">, the Company </w:t>
      </w:r>
      <w:r>
        <w:t xml:space="preserve">has </w:t>
      </w:r>
      <w:r w:rsidR="002A7A4E">
        <w:t>555,432,576</w:t>
      </w:r>
      <w:r w:rsidR="00D61CC0">
        <w:t xml:space="preserve"> </w:t>
      </w:r>
      <w:r w:rsidR="00C645C3">
        <w:t>o</w:t>
      </w:r>
      <w:r w:rsidR="00D53F82" w:rsidRPr="4DD4C02B">
        <w:t xml:space="preserve">rdinary </w:t>
      </w:r>
      <w:r w:rsidR="00C645C3">
        <w:t>s</w:t>
      </w:r>
      <w:r w:rsidR="00D53F82" w:rsidRPr="4DD4C02B">
        <w:t>hares in issue. Therefore</w:t>
      </w:r>
      <w:r w:rsidR="007C2E79">
        <w:t>,</w:t>
      </w:r>
      <w:r w:rsidR="00D53F82" w:rsidRPr="4DD4C02B">
        <w:t xml:space="preserve"> the total number of voting rights in the Company </w:t>
      </w:r>
      <w:r>
        <w:t xml:space="preserve">is </w:t>
      </w:r>
      <w:r w:rsidR="002A7A4E">
        <w:t xml:space="preserve">555,432,576 </w:t>
      </w:r>
      <w:r w:rsidR="00D53F82" w:rsidRPr="4DD4C02B">
        <w:t>which may be used by shareholders as the denominator for the calculations by which they will determine if they are required to notify their interest in, or a change to their interest in the Company under the FCA's Disclosure Guidance and Transparency Rules.</w:t>
      </w:r>
    </w:p>
    <w:p w14:paraId="4E1066B6" w14:textId="77777777" w:rsidR="007841FE" w:rsidRDefault="007841FE" w:rsidP="007841FE">
      <w:pPr>
        <w:pStyle w:val="NoSpacing"/>
        <w:jc w:val="both"/>
      </w:pPr>
    </w:p>
    <w:tbl>
      <w:tblPr>
        <w:tblW w:w="6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CF00D0" w:rsidRPr="00CF00D0" w14:paraId="3954B51B" w14:textId="77777777" w:rsidTr="00CF00D0">
        <w:tc>
          <w:tcPr>
            <w:tcW w:w="9026" w:type="dxa"/>
            <w:hideMark/>
          </w:tcPr>
          <w:p w14:paraId="21A75B1A" w14:textId="77777777" w:rsidR="001F2702" w:rsidRDefault="001F2702" w:rsidP="007841FE">
            <w:pPr>
              <w:pStyle w:val="NoSpacing"/>
              <w:rPr>
                <w:rFonts w:eastAsia="Times New Roman"/>
                <w:lang w:eastAsia="en-GB"/>
              </w:rPr>
            </w:pPr>
          </w:p>
          <w:p w14:paraId="139BBF23" w14:textId="6B1B1544" w:rsidR="00CF00D0" w:rsidRDefault="00586575" w:rsidP="007841FE">
            <w:pPr>
              <w:pStyle w:val="NoSpacing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  </w:t>
            </w:r>
            <w:r w:rsidR="00CF00D0" w:rsidRPr="00CF00D0">
              <w:rPr>
                <w:rFonts w:eastAsia="Times New Roman"/>
                <w:lang w:eastAsia="en-GB"/>
              </w:rPr>
              <w:t>For further information</w:t>
            </w:r>
          </w:p>
          <w:p w14:paraId="3BADBCC5" w14:textId="77777777" w:rsidR="0091122C" w:rsidRPr="00CF00D0" w:rsidRDefault="0091122C" w:rsidP="007841FE">
            <w:pPr>
              <w:pStyle w:val="NoSpacing"/>
              <w:rPr>
                <w:rFonts w:eastAsia="Times New Roman"/>
                <w:lang w:eastAsia="en-GB"/>
              </w:rPr>
            </w:pPr>
          </w:p>
          <w:tbl>
            <w:tblPr>
              <w:tblW w:w="80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54"/>
              <w:gridCol w:w="2126"/>
            </w:tblGrid>
            <w:tr w:rsidR="00CF00D0" w:rsidRPr="00CF00D0" w14:paraId="0E1D38CC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006260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Tavistock Investments Plc</w:t>
                  </w:r>
                </w:p>
                <w:p w14:paraId="7ECAF3B5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Oliver Cooke</w:t>
                  </w:r>
                </w:p>
                <w:p w14:paraId="4AF46A1A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Brian Raven</w:t>
                  </w:r>
                </w:p>
                <w:p w14:paraId="1D975152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78384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Tel: 01753 867000</w:t>
                  </w:r>
                </w:p>
              </w:tc>
            </w:tr>
            <w:tr w:rsidR="00CF00D0" w:rsidRPr="00CF00D0" w14:paraId="2EAD3847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5E6733" w14:textId="738ED52D" w:rsidR="00EE3699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Allenby Capital Limited</w:t>
                  </w:r>
                  <w:r w:rsidR="00EE3699">
                    <w:rPr>
                      <w:rFonts w:eastAsia="Times New Roman"/>
                      <w:lang w:eastAsia="en-GB"/>
                    </w:rPr>
                    <w:t xml:space="preserve"> </w:t>
                  </w:r>
                  <w:r w:rsidR="00EE3699" w:rsidRPr="00CF00D0">
                    <w:rPr>
                      <w:rFonts w:eastAsia="Times New Roman"/>
                      <w:lang w:eastAsia="en-GB"/>
                    </w:rPr>
                    <w:t>(Nominated adviser and broker)</w:t>
                  </w:r>
                </w:p>
                <w:p w14:paraId="6EE9596D" w14:textId="51CAF83A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Corporate Finance:</w:t>
                  </w:r>
                  <w:r w:rsidR="00EE3699">
                    <w:rPr>
                      <w:rFonts w:eastAsia="Times New Roman"/>
                      <w:lang w:eastAsia="en-GB"/>
                    </w:rPr>
                    <w:t xml:space="preserve"> </w:t>
                  </w:r>
                  <w:r w:rsidRPr="00CF00D0">
                    <w:rPr>
                      <w:rFonts w:eastAsia="Times New Roman"/>
                      <w:lang w:eastAsia="en-GB"/>
                    </w:rPr>
                    <w:t xml:space="preserve">Nick Naylor, </w:t>
                  </w:r>
                  <w:r w:rsidR="00D61CC0">
                    <w:rPr>
                      <w:rFonts w:eastAsia="Times New Roman"/>
                      <w:lang w:eastAsia="en-GB"/>
                    </w:rPr>
                    <w:t>Nick Athanas</w:t>
                  </w:r>
                  <w:r w:rsidR="005A73AB">
                    <w:rPr>
                      <w:rFonts w:eastAsia="Times New Roman"/>
                      <w:lang w:eastAsia="en-GB"/>
                    </w:rPr>
                    <w:t>, Freddie Woodi</w:t>
                  </w:r>
                  <w:r w:rsidR="00DD5473">
                    <w:rPr>
                      <w:rFonts w:eastAsia="Times New Roman"/>
                      <w:lang w:eastAsia="en-GB"/>
                    </w:rPr>
                    <w:t>ng</w:t>
                  </w:r>
                  <w:r w:rsidR="005A73AB">
                    <w:rPr>
                      <w:rFonts w:eastAsia="Times New Roman"/>
                      <w:lang w:eastAsia="en-GB"/>
                    </w:rPr>
                    <w:t xml:space="preserve"> </w:t>
                  </w:r>
                </w:p>
                <w:p w14:paraId="10498439" w14:textId="7EC397B8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Sales and Corporate Broking:</w:t>
                  </w:r>
                  <w:r w:rsidR="00EE3699">
                    <w:rPr>
                      <w:rFonts w:eastAsia="Times New Roman"/>
                      <w:lang w:eastAsia="en-GB"/>
                    </w:rPr>
                    <w:t xml:space="preserve"> </w:t>
                  </w:r>
                  <w:r w:rsidRPr="00CF00D0">
                    <w:rPr>
                      <w:rFonts w:eastAsia="Times New Roman"/>
                      <w:lang w:eastAsia="en-GB"/>
                    </w:rPr>
                    <w:t>Tony Quirke</w:t>
                  </w:r>
                </w:p>
                <w:p w14:paraId="6F623ACC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7697E0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Tel: 020 3328 5656</w:t>
                  </w:r>
                </w:p>
              </w:tc>
            </w:tr>
            <w:tr w:rsidR="00CF00D0" w:rsidRPr="00CF00D0" w14:paraId="07EE4539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54D5B5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Powerscourt</w:t>
                  </w:r>
                </w:p>
                <w:p w14:paraId="3F975965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Gilly Lock</w:t>
                  </w:r>
                </w:p>
                <w:p w14:paraId="2C8E47F8" w14:textId="64270B55" w:rsidR="00CF00D0" w:rsidRPr="00CF00D0" w:rsidRDefault="00D61CC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>
                    <w:t>Roxane Girard</w:t>
                  </w:r>
                  <w:r w:rsidR="00CF00D0" w:rsidRPr="00CF00D0">
                    <w:rPr>
                      <w:rFonts w:eastAsia="Times New Roman"/>
                      <w:lang w:eastAsia="en-GB"/>
                    </w:rPr>
                    <w:t> 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6BBD53" w14:textId="77777777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>Tel: 07711 380 007</w:t>
                  </w:r>
                </w:p>
                <w:p w14:paraId="654AF6E3" w14:textId="09F50179" w:rsidR="00CF00D0" w:rsidRPr="00CF00D0" w:rsidRDefault="00CF00D0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  <w:r w:rsidRPr="00CF00D0">
                    <w:rPr>
                      <w:rFonts w:eastAsia="Times New Roman"/>
                      <w:lang w:eastAsia="en-GB"/>
                    </w:rPr>
                    <w:t xml:space="preserve">  </w:t>
                  </w:r>
                  <w:r w:rsidR="00EE3699">
                    <w:rPr>
                      <w:rFonts w:eastAsia="Times New Roman"/>
                      <w:lang w:eastAsia="en-GB"/>
                    </w:rPr>
                    <w:t xml:space="preserve">      </w:t>
                  </w:r>
                  <w:r w:rsidRPr="00CF00D0">
                    <w:rPr>
                      <w:rFonts w:eastAsia="Times New Roman"/>
                      <w:lang w:eastAsia="en-GB"/>
                    </w:rPr>
                    <w:t>020 7250 1446</w:t>
                  </w:r>
                </w:p>
              </w:tc>
            </w:tr>
            <w:tr w:rsidR="00EE3699" w:rsidRPr="00CF00D0" w14:paraId="79EEF5F8" w14:textId="77777777" w:rsidTr="00DD5473">
              <w:tc>
                <w:tcPr>
                  <w:tcW w:w="595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21AB95" w14:textId="77777777" w:rsidR="00EE3699" w:rsidRPr="00CF00D0" w:rsidRDefault="00EE3699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</w:p>
              </w:tc>
              <w:tc>
                <w:tcPr>
                  <w:tcW w:w="212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C028EE" w14:textId="77777777" w:rsidR="00EE3699" w:rsidRPr="00CF00D0" w:rsidRDefault="00EE3699" w:rsidP="007841FE">
                  <w:pPr>
                    <w:pStyle w:val="NoSpacing"/>
                    <w:rPr>
                      <w:rFonts w:eastAsia="Times New Roman"/>
                      <w:lang w:eastAsia="en-GB"/>
                    </w:rPr>
                  </w:pPr>
                </w:p>
              </w:tc>
            </w:tr>
          </w:tbl>
          <w:p w14:paraId="5AE25E9E" w14:textId="77777777" w:rsidR="00CF00D0" w:rsidRPr="00CF00D0" w:rsidRDefault="00CF00D0" w:rsidP="007841FE">
            <w:pPr>
              <w:pStyle w:val="NoSpacing"/>
              <w:rPr>
                <w:rFonts w:eastAsia="Times New Roman"/>
                <w:lang w:eastAsia="en-GB"/>
              </w:rPr>
            </w:pPr>
          </w:p>
        </w:tc>
      </w:tr>
    </w:tbl>
    <w:p w14:paraId="26D19347" w14:textId="77777777" w:rsidR="00CF00D0" w:rsidRPr="00CF00D0" w:rsidRDefault="00CF00D0" w:rsidP="00CF00D0">
      <w:pPr>
        <w:spacing w:after="0" w:line="240" w:lineRule="auto"/>
        <w:rPr>
          <w:rFonts w:cstheme="minorHAnsi"/>
        </w:rPr>
      </w:pPr>
    </w:p>
    <w:sectPr w:rsidR="00CF00D0" w:rsidRPr="00CF0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FF"/>
    <w:rsid w:val="000011C0"/>
    <w:rsid w:val="00004711"/>
    <w:rsid w:val="00006F68"/>
    <w:rsid w:val="000A1DB9"/>
    <w:rsid w:val="000B5906"/>
    <w:rsid w:val="000C3541"/>
    <w:rsid w:val="000E6EB7"/>
    <w:rsid w:val="00134631"/>
    <w:rsid w:val="00134D3F"/>
    <w:rsid w:val="00163F0A"/>
    <w:rsid w:val="001F2702"/>
    <w:rsid w:val="001F6333"/>
    <w:rsid w:val="001F65EB"/>
    <w:rsid w:val="002077F9"/>
    <w:rsid w:val="0023475B"/>
    <w:rsid w:val="00240DD7"/>
    <w:rsid w:val="00264B37"/>
    <w:rsid w:val="00266ABC"/>
    <w:rsid w:val="002A7A4E"/>
    <w:rsid w:val="003110BF"/>
    <w:rsid w:val="00346CC6"/>
    <w:rsid w:val="003665BC"/>
    <w:rsid w:val="00370578"/>
    <w:rsid w:val="00385A46"/>
    <w:rsid w:val="00391812"/>
    <w:rsid w:val="003E0E8F"/>
    <w:rsid w:val="003F2179"/>
    <w:rsid w:val="003F504E"/>
    <w:rsid w:val="00423D6B"/>
    <w:rsid w:val="00440D97"/>
    <w:rsid w:val="00455E4B"/>
    <w:rsid w:val="00482881"/>
    <w:rsid w:val="00492550"/>
    <w:rsid w:val="004B7DAF"/>
    <w:rsid w:val="0050608F"/>
    <w:rsid w:val="0053105E"/>
    <w:rsid w:val="005520AF"/>
    <w:rsid w:val="0057705F"/>
    <w:rsid w:val="00582C7A"/>
    <w:rsid w:val="00583A6A"/>
    <w:rsid w:val="00586575"/>
    <w:rsid w:val="005A73AB"/>
    <w:rsid w:val="005E2873"/>
    <w:rsid w:val="005F5C5D"/>
    <w:rsid w:val="00625950"/>
    <w:rsid w:val="00651F45"/>
    <w:rsid w:val="00675ADE"/>
    <w:rsid w:val="006A04CC"/>
    <w:rsid w:val="00747D3F"/>
    <w:rsid w:val="007841FE"/>
    <w:rsid w:val="007C2E79"/>
    <w:rsid w:val="007F20FF"/>
    <w:rsid w:val="0084005D"/>
    <w:rsid w:val="00856DBD"/>
    <w:rsid w:val="0086046D"/>
    <w:rsid w:val="008715D8"/>
    <w:rsid w:val="008A25F6"/>
    <w:rsid w:val="008D43C7"/>
    <w:rsid w:val="0091122C"/>
    <w:rsid w:val="00911F83"/>
    <w:rsid w:val="00962DE2"/>
    <w:rsid w:val="009830F7"/>
    <w:rsid w:val="009B0AF5"/>
    <w:rsid w:val="009F6642"/>
    <w:rsid w:val="00A53462"/>
    <w:rsid w:val="00A861CE"/>
    <w:rsid w:val="00A95094"/>
    <w:rsid w:val="00AD546C"/>
    <w:rsid w:val="00AE0083"/>
    <w:rsid w:val="00B63BD1"/>
    <w:rsid w:val="00B67720"/>
    <w:rsid w:val="00B85B21"/>
    <w:rsid w:val="00BE0B50"/>
    <w:rsid w:val="00BE67A3"/>
    <w:rsid w:val="00C02453"/>
    <w:rsid w:val="00C17C55"/>
    <w:rsid w:val="00C406A5"/>
    <w:rsid w:val="00C45339"/>
    <w:rsid w:val="00C645C3"/>
    <w:rsid w:val="00C8189D"/>
    <w:rsid w:val="00CC3020"/>
    <w:rsid w:val="00CF00D0"/>
    <w:rsid w:val="00D3473E"/>
    <w:rsid w:val="00D47595"/>
    <w:rsid w:val="00D52129"/>
    <w:rsid w:val="00D53F82"/>
    <w:rsid w:val="00D61CC0"/>
    <w:rsid w:val="00D80FD6"/>
    <w:rsid w:val="00DD5473"/>
    <w:rsid w:val="00E6761D"/>
    <w:rsid w:val="00E70211"/>
    <w:rsid w:val="00EC42A7"/>
    <w:rsid w:val="00EE3699"/>
    <w:rsid w:val="00F02846"/>
    <w:rsid w:val="00F2175D"/>
    <w:rsid w:val="00F27456"/>
    <w:rsid w:val="00F46645"/>
    <w:rsid w:val="00F4765F"/>
    <w:rsid w:val="00F65D95"/>
    <w:rsid w:val="4DD4C02B"/>
    <w:rsid w:val="549E942B"/>
    <w:rsid w:val="7C2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3B56"/>
  <w15:chartTrackingRefBased/>
  <w15:docId w15:val="{ACD9D58F-3D02-4BDD-A8C1-F833189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00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q">
    <w:name w:val="aq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">
    <w:name w:val="af"/>
    <w:basedOn w:val="DefaultParagraphFont"/>
    <w:rsid w:val="00CF00D0"/>
  </w:style>
  <w:style w:type="paragraph" w:customStyle="1" w:styleId="at">
    <w:name w:val="at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u">
    <w:name w:val="au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c">
    <w:name w:val="ac"/>
    <w:basedOn w:val="DefaultParagraphFont"/>
    <w:rsid w:val="00CF00D0"/>
  </w:style>
  <w:style w:type="paragraph" w:customStyle="1" w:styleId="av">
    <w:name w:val="av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a">
    <w:name w:val="aa"/>
    <w:basedOn w:val="DefaultParagraphFont"/>
    <w:rsid w:val="00CF00D0"/>
  </w:style>
  <w:style w:type="paragraph" w:customStyle="1" w:styleId="aw">
    <w:name w:val="aw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x">
    <w:name w:val="ax"/>
    <w:basedOn w:val="Normal"/>
    <w:rsid w:val="00CF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F00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gh">
    <w:name w:val="gh"/>
    <w:basedOn w:val="DefaultParagraphFont"/>
    <w:rsid w:val="00CF00D0"/>
  </w:style>
  <w:style w:type="character" w:styleId="CommentReference">
    <w:name w:val="annotation reference"/>
    <w:basedOn w:val="DefaultParagraphFont"/>
    <w:uiPriority w:val="99"/>
    <w:semiHidden/>
    <w:unhideWhenUsed/>
    <w:rsid w:val="00577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7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7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0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3699"/>
    <w:pPr>
      <w:spacing w:after="0" w:line="240" w:lineRule="auto"/>
    </w:pPr>
  </w:style>
  <w:style w:type="paragraph" w:styleId="NoSpacing">
    <w:name w:val="No Spacing"/>
    <w:uiPriority w:val="1"/>
    <w:qFormat/>
    <w:rsid w:val="007841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02EE9C542FD4FBE7E810F7D2DBE0F" ma:contentTypeVersion="12" ma:contentTypeDescription="Create a new document." ma:contentTypeScope="" ma:versionID="881b8acd24896c721f0651adec9ecf75">
  <xsd:schema xmlns:xsd="http://www.w3.org/2001/XMLSchema" xmlns:xs="http://www.w3.org/2001/XMLSchema" xmlns:p="http://schemas.microsoft.com/office/2006/metadata/properties" xmlns:ns2="cdac56c4-cf8c-42c0-bade-e60a11d5f269" xmlns:ns3="840f23b3-cc65-48ae-9dcb-5f349891dda5" targetNamespace="http://schemas.microsoft.com/office/2006/metadata/properties" ma:root="true" ma:fieldsID="1bae1f1df54e3e2d10b40a0fe8c906ea" ns2:_="" ns3:_="">
    <xsd:import namespace="cdac56c4-cf8c-42c0-bade-e60a11d5f269"/>
    <xsd:import namespace="840f23b3-cc65-48ae-9dcb-5f349891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c56c4-cf8c-42c0-bade-e60a11d5f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f23b3-cc65-48ae-9dcb-5f349891dda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15F467-62AE-45A7-8D02-D6F87835F9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00505b-58b0-4025-b1b1-49349b622e8b"/>
    <ds:schemaRef ds:uri="408f9518-7230-4f9b-ad14-69b2885d9a49"/>
  </ds:schemaRefs>
</ds:datastoreItem>
</file>

<file path=customXml/itemProps2.xml><?xml version="1.0" encoding="utf-8"?>
<ds:datastoreItem xmlns:ds="http://schemas.openxmlformats.org/officeDocument/2006/customXml" ds:itemID="{D56CB5C3-BDA9-421C-A127-856BA72AFC8E}"/>
</file>

<file path=customXml/itemProps3.xml><?xml version="1.0" encoding="utf-8"?>
<ds:datastoreItem xmlns:ds="http://schemas.openxmlformats.org/officeDocument/2006/customXml" ds:itemID="{7D2030B6-C793-4EAD-A06E-9F51D312F4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Kirchner</dc:creator>
  <cp:keywords/>
  <dc:description/>
  <cp:lastModifiedBy>Oliver Cooke</cp:lastModifiedBy>
  <cp:revision>2</cp:revision>
  <cp:lastPrinted>2022-08-17T07:12:00Z</cp:lastPrinted>
  <dcterms:created xsi:type="dcterms:W3CDTF">2022-11-22T11:57:00Z</dcterms:created>
  <dcterms:modified xsi:type="dcterms:W3CDTF">2022-11-22T11:57:00Z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0x01010051402EE9C542FD4FBE7E810F7D2DBE0F</vt:lpwstr>
  </property>
  <property fmtid="{D5CDD505-2E9C-101B-9397-08002B2CF9AE}" pid="3" name="_dlc_policyId">
    <vt:lpwstr>/sites/CompanyData/Shared Documents</vt:lpwstr>
  </property>
  <property fmtid="{D5CDD505-2E9C-101B-9397-08002B2CF9AE}" pid="4" name="ItemRetentionFormula">
    <vt:lpwstr>&lt;formula id="Microsoft.Office.RecordsManagement.PolicyFeatures.Expiration.Formula.BuiltIn"&gt;&lt;number&gt;75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MediaServiceImageTags">
    <vt:lpwstr/>
  </property>
</Properties>
</file>