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E78" w14:textId="77777777" w:rsidR="00544C83" w:rsidRPr="007702FC" w:rsidRDefault="00544C83" w:rsidP="00544C83">
      <w:pPr>
        <w:jc w:val="center"/>
        <w:rPr>
          <w:rFonts w:asciiTheme="minorHAnsi" w:hAnsiTheme="minorHAnsi"/>
          <w:b/>
        </w:rPr>
      </w:pPr>
      <w:r w:rsidRPr="007702FC">
        <w:rPr>
          <w:rFonts w:asciiTheme="minorHAnsi" w:hAnsiTheme="minorHAnsi"/>
          <w:b/>
        </w:rPr>
        <w:t>Tavistock Investments Plc</w:t>
      </w:r>
    </w:p>
    <w:p w14:paraId="46AF5DE6" w14:textId="7E50E1F3" w:rsidR="00544C83" w:rsidRPr="007702FC" w:rsidRDefault="00FF33F6" w:rsidP="00544C83">
      <w:pPr>
        <w:jc w:val="center"/>
        <w:rPr>
          <w:rFonts w:asciiTheme="minorHAnsi" w:hAnsiTheme="minorHAnsi"/>
          <w:b/>
        </w:rPr>
      </w:pPr>
      <w:r w:rsidRPr="007702FC">
        <w:rPr>
          <w:rFonts w:asciiTheme="minorHAnsi" w:hAnsiTheme="minorHAnsi"/>
          <w:b/>
        </w:rPr>
        <w:t>(“Tavistock” or the “Company”)</w:t>
      </w:r>
    </w:p>
    <w:p w14:paraId="7A322E5F" w14:textId="77777777" w:rsidR="00FC548C" w:rsidRPr="007702FC" w:rsidRDefault="00FC548C" w:rsidP="00544C83">
      <w:pPr>
        <w:jc w:val="center"/>
        <w:rPr>
          <w:rFonts w:asciiTheme="minorHAnsi" w:hAnsiTheme="minorHAnsi"/>
          <w:b/>
        </w:rPr>
      </w:pPr>
    </w:p>
    <w:p w14:paraId="50B22795" w14:textId="7D64B5F6" w:rsidR="00544C83" w:rsidRPr="007702FC" w:rsidRDefault="00544C83" w:rsidP="00544C83">
      <w:pPr>
        <w:jc w:val="center"/>
        <w:rPr>
          <w:rFonts w:asciiTheme="minorHAnsi" w:hAnsiTheme="minorHAnsi"/>
          <w:b/>
        </w:rPr>
      </w:pPr>
      <w:r w:rsidRPr="007702FC">
        <w:rPr>
          <w:rFonts w:asciiTheme="minorHAnsi" w:hAnsiTheme="minorHAnsi"/>
          <w:b/>
        </w:rPr>
        <w:t xml:space="preserve">Result of </w:t>
      </w:r>
      <w:r w:rsidR="008323F3" w:rsidRPr="007702FC">
        <w:rPr>
          <w:rFonts w:asciiTheme="minorHAnsi" w:hAnsiTheme="minorHAnsi"/>
          <w:b/>
        </w:rPr>
        <w:t>A</w:t>
      </w:r>
      <w:r w:rsidR="00FC548C" w:rsidRPr="007702FC">
        <w:rPr>
          <w:rFonts w:asciiTheme="minorHAnsi" w:hAnsiTheme="minorHAnsi"/>
          <w:b/>
        </w:rPr>
        <w:t xml:space="preserve">nnual </w:t>
      </w:r>
      <w:r w:rsidR="008323F3" w:rsidRPr="007702FC">
        <w:rPr>
          <w:rFonts w:asciiTheme="minorHAnsi" w:hAnsiTheme="minorHAnsi"/>
          <w:b/>
        </w:rPr>
        <w:t>G</w:t>
      </w:r>
      <w:r w:rsidR="00FC548C" w:rsidRPr="007702FC">
        <w:rPr>
          <w:rFonts w:asciiTheme="minorHAnsi" w:hAnsiTheme="minorHAnsi"/>
          <w:b/>
        </w:rPr>
        <w:t xml:space="preserve">eneral </w:t>
      </w:r>
      <w:r w:rsidR="008323F3" w:rsidRPr="007702FC">
        <w:rPr>
          <w:rFonts w:asciiTheme="minorHAnsi" w:hAnsiTheme="minorHAnsi"/>
          <w:b/>
        </w:rPr>
        <w:t>M</w:t>
      </w:r>
      <w:r w:rsidR="00FC548C" w:rsidRPr="007702FC">
        <w:rPr>
          <w:rFonts w:asciiTheme="minorHAnsi" w:hAnsiTheme="minorHAnsi"/>
          <w:b/>
        </w:rPr>
        <w:t>eeting (“</w:t>
      </w:r>
      <w:r w:rsidRPr="007702FC">
        <w:rPr>
          <w:rFonts w:asciiTheme="minorHAnsi" w:hAnsiTheme="minorHAnsi"/>
          <w:b/>
        </w:rPr>
        <w:t>AGM</w:t>
      </w:r>
      <w:r w:rsidR="00FC548C" w:rsidRPr="007702FC">
        <w:rPr>
          <w:rFonts w:asciiTheme="minorHAnsi" w:hAnsiTheme="minorHAnsi"/>
          <w:b/>
        </w:rPr>
        <w:t>”)</w:t>
      </w:r>
    </w:p>
    <w:p w14:paraId="463C4CA2" w14:textId="3C086CCA" w:rsidR="000700D0" w:rsidRPr="001A0668" w:rsidRDefault="00544C83" w:rsidP="00544C83">
      <w:pPr>
        <w:jc w:val="both"/>
        <w:rPr>
          <w:rFonts w:asciiTheme="minorHAnsi" w:hAnsiTheme="minorHAnsi"/>
          <w:sz w:val="24"/>
          <w:szCs w:val="24"/>
        </w:rPr>
      </w:pPr>
      <w:r w:rsidRPr="001A0668">
        <w:rPr>
          <w:rFonts w:asciiTheme="minorHAnsi" w:hAnsiTheme="minorHAnsi"/>
          <w:sz w:val="24"/>
          <w:szCs w:val="24"/>
        </w:rPr>
        <w:t> </w:t>
      </w:r>
    </w:p>
    <w:p w14:paraId="29EBA3EF" w14:textId="248865EF" w:rsidR="00544C83" w:rsidRPr="00FF33F6" w:rsidRDefault="007702FC" w:rsidP="00544C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07D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November</w:t>
      </w:r>
      <w:r w:rsidR="00544C83" w:rsidRPr="00FF33F6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3</w:t>
      </w:r>
    </w:p>
    <w:p w14:paraId="4FFCCB42" w14:textId="77777777" w:rsidR="00544C83" w:rsidRPr="001A0668" w:rsidRDefault="00544C83" w:rsidP="00544C83">
      <w:pPr>
        <w:jc w:val="both"/>
        <w:rPr>
          <w:rFonts w:asciiTheme="minorHAnsi" w:hAnsiTheme="minorHAnsi"/>
          <w:sz w:val="24"/>
          <w:szCs w:val="24"/>
        </w:rPr>
      </w:pPr>
    </w:p>
    <w:p w14:paraId="134F3930" w14:textId="5C6F1786" w:rsidR="008C5669" w:rsidRPr="008C5669" w:rsidRDefault="008C5669" w:rsidP="008C5669">
      <w:pPr>
        <w:jc w:val="both"/>
        <w:rPr>
          <w:rFonts w:asciiTheme="minorHAnsi" w:hAnsiTheme="minorHAnsi"/>
        </w:rPr>
      </w:pPr>
      <w:r w:rsidRPr="001A0668">
        <w:rPr>
          <w:rFonts w:asciiTheme="minorHAnsi" w:hAnsiTheme="minorHAnsi"/>
        </w:rPr>
        <w:t xml:space="preserve">The Company is pleased to </w:t>
      </w:r>
      <w:r w:rsidR="00215810">
        <w:rPr>
          <w:rFonts w:asciiTheme="minorHAnsi" w:hAnsiTheme="minorHAnsi"/>
        </w:rPr>
        <w:t>announce</w:t>
      </w:r>
      <w:r w:rsidRPr="008C5669">
        <w:rPr>
          <w:rFonts w:asciiTheme="minorHAnsi" w:hAnsiTheme="minorHAnsi"/>
        </w:rPr>
        <w:t xml:space="preserve"> that </w:t>
      </w:r>
      <w:r w:rsidR="00B73786">
        <w:rPr>
          <w:rFonts w:asciiTheme="minorHAnsi" w:hAnsiTheme="minorHAnsi"/>
        </w:rPr>
        <w:t xml:space="preserve">all resolutions were duly passed </w:t>
      </w:r>
      <w:r w:rsidRPr="008C5669">
        <w:rPr>
          <w:rFonts w:asciiTheme="minorHAnsi" w:hAnsiTheme="minorHAnsi"/>
        </w:rPr>
        <w:t>at the AGM, held earlier today</w:t>
      </w:r>
      <w:r w:rsidR="00FE1A96">
        <w:rPr>
          <w:rFonts w:asciiTheme="minorHAnsi" w:hAnsiTheme="minorHAnsi"/>
        </w:rPr>
        <w:t>.</w:t>
      </w:r>
      <w:r w:rsidR="001125C0">
        <w:rPr>
          <w:rFonts w:asciiTheme="minorHAnsi" w:hAnsiTheme="minorHAnsi"/>
        </w:rPr>
        <w:t xml:space="preserve"> </w:t>
      </w:r>
      <w:r w:rsidR="002576ED">
        <w:rPr>
          <w:rFonts w:asciiTheme="minorHAnsi" w:hAnsiTheme="minorHAnsi"/>
        </w:rPr>
        <w:t xml:space="preserve">Details </w:t>
      </w:r>
      <w:r w:rsidRPr="008C5669">
        <w:rPr>
          <w:rFonts w:asciiTheme="minorHAnsi" w:hAnsiTheme="minorHAnsi"/>
        </w:rPr>
        <w:t xml:space="preserve">of the proxy votes </w:t>
      </w:r>
      <w:r w:rsidR="006054A9">
        <w:rPr>
          <w:rFonts w:asciiTheme="minorHAnsi" w:hAnsiTheme="minorHAnsi"/>
        </w:rPr>
        <w:t>received and certified by the Company’s registrar, Share Registrars Limited,</w:t>
      </w:r>
      <w:r w:rsidR="006054A9" w:rsidRPr="008C5669">
        <w:rPr>
          <w:rFonts w:asciiTheme="minorHAnsi" w:hAnsiTheme="minorHAnsi"/>
        </w:rPr>
        <w:t xml:space="preserve"> </w:t>
      </w:r>
      <w:r w:rsidRPr="008C5669">
        <w:rPr>
          <w:rFonts w:asciiTheme="minorHAnsi" w:hAnsiTheme="minorHAnsi"/>
        </w:rPr>
        <w:t>are set out below.</w:t>
      </w:r>
    </w:p>
    <w:p w14:paraId="1187C352" w14:textId="77777777" w:rsidR="008C5669" w:rsidRPr="008C5669" w:rsidRDefault="008C5669" w:rsidP="008C5669">
      <w:pPr>
        <w:jc w:val="both"/>
        <w:rPr>
          <w:rFonts w:asciiTheme="minorHAnsi" w:hAnsiTheme="minorHAnsi"/>
        </w:rPr>
      </w:pPr>
      <w:r w:rsidRPr="008C5669">
        <w:rPr>
          <w:rFonts w:asciiTheme="minorHAnsi" w:hAnsiTheme="minorHAnsi"/>
        </w:rPr>
        <w:t> </w:t>
      </w:r>
    </w:p>
    <w:tbl>
      <w:tblPr>
        <w:tblW w:w="9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037"/>
        <w:gridCol w:w="1330"/>
        <w:gridCol w:w="875"/>
        <w:gridCol w:w="1218"/>
        <w:gridCol w:w="875"/>
        <w:gridCol w:w="1022"/>
        <w:gridCol w:w="1330"/>
      </w:tblGrid>
      <w:tr w:rsidR="00CB609A" w:rsidRPr="008C5669" w14:paraId="1FE7F30A" w14:textId="77777777" w:rsidTr="002A29E6">
        <w:trPr>
          <w:trHeight w:val="30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CED71" w14:textId="77777777" w:rsidR="00CB609A" w:rsidRPr="008C5669" w:rsidRDefault="00CB609A" w:rsidP="008C566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DAEC" w14:textId="77777777" w:rsidR="00CB609A" w:rsidRPr="008C5669" w:rsidRDefault="00CB609A" w:rsidP="008C566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Resolution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C50E" w14:textId="67E3CAA2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Votes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61E" w14:textId="77777777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A233" w14:textId="294C5164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CB609A" w:rsidRPr="008C5669" w14:paraId="0B1B17B7" w14:textId="77777777" w:rsidTr="002A29E6">
        <w:trPr>
          <w:trHeight w:val="505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77" w14:textId="77777777" w:rsidR="00CB609A" w:rsidRPr="008C5669" w:rsidRDefault="00CB609A" w:rsidP="008C566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90FD" w14:textId="77777777" w:rsidR="00CB609A" w:rsidRPr="008C5669" w:rsidRDefault="00CB609A" w:rsidP="008C566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3320" w14:textId="77777777" w:rsidR="00CB609A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Number</w:t>
            </w:r>
          </w:p>
          <w:p w14:paraId="205DFBB3" w14:textId="77600EF3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For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C7EF" w14:textId="40D83FCC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of votes cast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8D9F" w14:textId="77777777" w:rsidR="00CB609A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Number</w:t>
            </w:r>
          </w:p>
          <w:p w14:paraId="6A3C07B8" w14:textId="2FE99EF9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Against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0D44" w14:textId="4F1238DD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5669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of votes cast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E67" w14:textId="77777777" w:rsidR="00CB609A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Votes</w:t>
            </w:r>
          </w:p>
          <w:p w14:paraId="656E61B3" w14:textId="55D5BDE5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withheld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A0FF" w14:textId="0B44B207" w:rsidR="00CB609A" w:rsidRPr="008C5669" w:rsidRDefault="00CB609A" w:rsidP="00ED159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A29E6" w:rsidRPr="008C5669" w14:paraId="6037F045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74F7" w14:textId="77777777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 w:rsidRPr="008C5669">
              <w:rPr>
                <w:rFonts w:asciiTheme="minorHAnsi" w:hAnsiTheme="minorHAnsi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E505" w14:textId="74F79376" w:rsidR="002A29E6" w:rsidRPr="008C5669" w:rsidRDefault="002A29E6" w:rsidP="002A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Re-election of Johanna Rager as a director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E0FC" w14:textId="547CC576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181,966,858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FA2A" w14:textId="6E2A0BA7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F633" w14:textId="5996FE1B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119,679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CD4E" w14:textId="109F43DA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0.07%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E91EF" w14:textId="57B8FAE5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30,051,329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0DD1" w14:textId="5AB849DB" w:rsidR="002A29E6" w:rsidRPr="002A29E6" w:rsidRDefault="000A51B6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</w:t>
            </w:r>
            <w:r w:rsidR="00B0339D">
              <w:rPr>
                <w:rFonts w:asciiTheme="minorHAnsi" w:hAnsiTheme="minorHAnsi" w:cstheme="minorHAnsi"/>
                <w:color w:val="000000"/>
              </w:rPr>
              <w:t>137,866</w:t>
            </w:r>
          </w:p>
        </w:tc>
      </w:tr>
      <w:tr w:rsidR="002A29E6" w:rsidRPr="008C5669" w14:paraId="27396EB5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E575" w14:textId="41ADAFD8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991D" w14:textId="03FE3247" w:rsidR="002A29E6" w:rsidRDefault="002A29E6" w:rsidP="002A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Re-election of Brian Raven as a director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BEAE" w14:textId="71867767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211,781,566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0E8D" w14:textId="4E9FB09D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99.86%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FBEF" w14:textId="5F475D29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304,971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C8F5" w14:textId="4FCDDDD6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0.14%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1D46" w14:textId="27C442D2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51,329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B7BB" w14:textId="2AB3605C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6D74B075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650E" w14:textId="3F3FC517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A07A" w14:textId="40CCC6EA" w:rsidR="002A29E6" w:rsidRDefault="002A29E6" w:rsidP="002A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Re-election of Roderic Rennison as a director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52B8" w14:textId="66216E16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211,884,693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33FD" w14:textId="2B89310A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2DE7" w14:textId="492B0774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201,844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CB37" w14:textId="12C9B72C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BDB7" w14:textId="5F84D824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51,329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134A" w14:textId="79B59527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6A8D6A8E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E433" w14:textId="0C78D21C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6792" w14:textId="5583873C" w:rsidR="002A29E6" w:rsidRDefault="002A29E6" w:rsidP="002A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Re-election of Peter Dornan as a director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2D38" w14:textId="648D1BB8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211,884,693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ADBC" w14:textId="146D3BC3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F0D2" w14:textId="3D9A5A1E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201,844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74F1" w14:textId="6580062A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146C" w14:textId="7B796E38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51,329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4908" w14:textId="02D66E75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1508514F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DA5C" w14:textId="1DA0EB51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ECB8" w14:textId="75A7EFCF" w:rsidR="002A29E6" w:rsidRPr="008C5669" w:rsidRDefault="002A29E6" w:rsidP="002A29E6">
            <w:pPr>
              <w:rPr>
                <w:rFonts w:asciiTheme="minorHAnsi" w:hAnsiTheme="minorHAnsi"/>
              </w:rPr>
            </w:pPr>
            <w:r w:rsidRPr="008C5669">
              <w:rPr>
                <w:rFonts w:asciiTheme="minorHAnsi" w:hAnsiTheme="minorHAnsi"/>
              </w:rPr>
              <w:t xml:space="preserve">Receive and adopt </w:t>
            </w:r>
            <w:r>
              <w:rPr>
                <w:rFonts w:asciiTheme="minorHAnsi" w:hAnsiTheme="minorHAnsi"/>
              </w:rPr>
              <w:t xml:space="preserve">the </w:t>
            </w:r>
            <w:r w:rsidRPr="008C5669">
              <w:rPr>
                <w:rFonts w:asciiTheme="minorHAnsi" w:hAnsiTheme="minorHAnsi"/>
              </w:rPr>
              <w:t>accounts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F489" w14:textId="46A8FCEC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212,080,002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ED43" w14:textId="5BFBCC90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CD60" w14:textId="65E3A08E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46,535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B1E4" w14:textId="6893452B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0.02%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7DD2" w14:textId="74D17DCD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7136" w14:textId="0DCA18A1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7467DFAD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FA30" w14:textId="0A437FE9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CF57" w14:textId="182F162D" w:rsidR="002A29E6" w:rsidRPr="008C5669" w:rsidRDefault="002A29E6" w:rsidP="002A29E6">
            <w:pPr>
              <w:rPr>
                <w:rFonts w:asciiTheme="minorHAnsi" w:hAnsiTheme="minorHAnsi"/>
              </w:rPr>
            </w:pPr>
            <w:r w:rsidRPr="008C5669">
              <w:rPr>
                <w:rFonts w:asciiTheme="minorHAnsi" w:hAnsiTheme="minorHAnsi"/>
              </w:rPr>
              <w:t xml:space="preserve">Reappointment of </w:t>
            </w:r>
            <w:r>
              <w:rPr>
                <w:rFonts w:asciiTheme="minorHAnsi" w:hAnsiTheme="minorHAnsi"/>
              </w:rPr>
              <w:t>RPG Crouch Chapman</w:t>
            </w:r>
            <w:r w:rsidRPr="008C5669">
              <w:rPr>
                <w:rFonts w:asciiTheme="minorHAnsi" w:hAnsiTheme="minorHAnsi"/>
              </w:rPr>
              <w:t xml:space="preserve"> as auditor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1685" w14:textId="19E954F2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212,035,433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C4F5" w14:textId="276C8402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C046" w14:textId="09110E22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91,104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0C07" w14:textId="6E57D3D0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0.04%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2196" w14:textId="3A65CBDF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11,329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5724" w14:textId="5DB99ADE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28092397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F7EB" w14:textId="32542B45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C6D1" w14:textId="77777777" w:rsidR="002A29E6" w:rsidRPr="008C5669" w:rsidRDefault="002A29E6" w:rsidP="002A29E6">
            <w:pPr>
              <w:rPr>
                <w:rFonts w:asciiTheme="minorHAnsi" w:hAnsiTheme="minorHAnsi"/>
              </w:rPr>
            </w:pPr>
            <w:r w:rsidRPr="008C5669">
              <w:rPr>
                <w:rFonts w:asciiTheme="minorHAnsi" w:hAnsiTheme="minorHAnsi"/>
              </w:rPr>
              <w:t>General authority to allot shares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0E99" w14:textId="4F528EB2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180,978,347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F925" w14:textId="2D3910D1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85.47%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DA22" w14:textId="0146E6B7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30,763,594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E16" w14:textId="180DA438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14.53%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0616" w14:textId="5E61B27D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395,925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439F" w14:textId="58D14549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3F5C936C" w14:textId="77777777" w:rsidTr="002A29E6">
        <w:trPr>
          <w:trHeight w:val="30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2CC1" w14:textId="1F5D36CB" w:rsidR="002A29E6" w:rsidRPr="008C5669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93E0" w14:textId="77777777" w:rsidR="002A29E6" w:rsidRPr="008C5669" w:rsidRDefault="002A29E6" w:rsidP="002A29E6">
            <w:pPr>
              <w:rPr>
                <w:rFonts w:asciiTheme="minorHAnsi" w:hAnsiTheme="minorHAnsi"/>
              </w:rPr>
            </w:pPr>
            <w:r w:rsidRPr="008C5669">
              <w:rPr>
                <w:rFonts w:asciiTheme="minorHAnsi" w:hAnsiTheme="minorHAnsi"/>
              </w:rPr>
              <w:t>Dis-application of pre-emption rights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AEDA" w14:textId="30408B36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180,870,750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A230" w14:textId="372976E7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85.42%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06CE" w14:textId="4CC33F0E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30,870,957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FCB5" w14:textId="7956CC55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14.58%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A6F1A" w14:textId="11E9C754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396,159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667F" w14:textId="3342DB5A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  <w:tr w:rsidR="002A29E6" w:rsidRPr="008C5669" w14:paraId="7AF44E2B" w14:textId="77777777" w:rsidTr="002A29E6">
        <w:trPr>
          <w:trHeight w:val="125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65D7" w14:textId="1E2D0570" w:rsidR="002A29E6" w:rsidRDefault="002A29E6" w:rsidP="002A29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C498" w14:textId="1094DC90" w:rsidR="002A29E6" w:rsidRPr="008C5669" w:rsidRDefault="002A29E6" w:rsidP="002A29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Authorise market purchases of shares by the Company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CCBE" w14:textId="54353704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212,018,130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607B" w14:textId="188C74BD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99.95%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FECA" w14:textId="5F6739CB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108,173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5662" w14:textId="1621175C" w:rsidR="002A29E6" w:rsidRPr="002A29E6" w:rsidRDefault="002A29E6" w:rsidP="00DB4F57">
            <w:pPr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0.05%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BB3C3" w14:textId="0E89EC82" w:rsidR="002A29E6" w:rsidRPr="002A29E6" w:rsidRDefault="002A29E6" w:rsidP="00DB4F5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A29E6">
              <w:rPr>
                <w:rFonts w:asciiTheme="minorHAnsi" w:hAnsiTheme="minorHAnsi" w:cstheme="minorHAnsi"/>
                <w:color w:val="000000"/>
              </w:rPr>
              <w:t>11,563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E6FD" w14:textId="2CB450E0" w:rsidR="002A29E6" w:rsidRPr="002A29E6" w:rsidRDefault="00B0339D" w:rsidP="00DB4F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212,137,866</w:t>
            </w:r>
          </w:p>
        </w:tc>
      </w:tr>
    </w:tbl>
    <w:p w14:paraId="7AC7B7C9" w14:textId="4AA2137F" w:rsidR="008C5669" w:rsidRPr="008C5669" w:rsidRDefault="008C5669" w:rsidP="008C5669">
      <w:pPr>
        <w:jc w:val="both"/>
        <w:rPr>
          <w:rFonts w:asciiTheme="minorHAnsi" w:hAnsiTheme="minorHAnsi"/>
          <w:i/>
          <w:iCs/>
        </w:rPr>
      </w:pPr>
      <w:r w:rsidRPr="008C5669">
        <w:rPr>
          <w:rFonts w:asciiTheme="minorHAnsi" w:hAnsiTheme="minorHAnsi"/>
          <w:i/>
          <w:iCs/>
        </w:rPr>
        <w:t> Any proxy votes that were at the discretion of the Chairman are included in the "Total Votes For" each resolution</w:t>
      </w:r>
      <w:r w:rsidR="00BA2841">
        <w:rPr>
          <w:rFonts w:asciiTheme="minorHAnsi" w:hAnsiTheme="minorHAnsi"/>
          <w:i/>
          <w:iCs/>
        </w:rPr>
        <w:t>.</w:t>
      </w:r>
    </w:p>
    <w:p w14:paraId="380740DE" w14:textId="77777777" w:rsidR="008C5669" w:rsidRDefault="008C5669" w:rsidP="00544C83">
      <w:pPr>
        <w:jc w:val="both"/>
        <w:rPr>
          <w:rFonts w:asciiTheme="minorHAnsi" w:hAnsiTheme="minorHAnsi"/>
        </w:rPr>
      </w:pPr>
    </w:p>
    <w:p w14:paraId="05DDDDD5" w14:textId="2AAE5EB7" w:rsidR="00C00E8D" w:rsidRPr="00B650FD" w:rsidRDefault="00C00E8D" w:rsidP="00C00E8D">
      <w:pPr>
        <w:spacing w:after="120"/>
        <w:jc w:val="both"/>
        <w:rPr>
          <w:rFonts w:asciiTheme="minorHAnsi" w:eastAsia="Times" w:hAnsiTheme="minorHAnsi" w:cstheme="minorHAnsi"/>
          <w:b/>
        </w:rPr>
      </w:pPr>
      <w:r w:rsidRPr="00B650FD">
        <w:rPr>
          <w:rFonts w:asciiTheme="minorHAnsi" w:eastAsia="Times" w:hAnsiTheme="minorHAnsi" w:cstheme="minorHAnsi"/>
          <w:b/>
        </w:rPr>
        <w:t>For further information</w:t>
      </w:r>
      <w:r w:rsidR="00D91FF8" w:rsidRPr="00B650FD">
        <w:rPr>
          <w:rFonts w:asciiTheme="minorHAnsi" w:eastAsia="Times" w:hAnsiTheme="minorHAnsi" w:cstheme="minorHAnsi"/>
          <w:b/>
        </w:rPr>
        <w:t>:</w:t>
      </w:r>
    </w:p>
    <w:p w14:paraId="2B93D918" w14:textId="77777777" w:rsidR="00C00E8D" w:rsidRPr="00C00E8D" w:rsidRDefault="00C00E8D" w:rsidP="00C00E8D">
      <w:pPr>
        <w:jc w:val="both"/>
        <w:rPr>
          <w:rFonts w:asciiTheme="minorHAnsi" w:eastAsia="Times" w:hAnsiTheme="minorHAnsi" w:cstheme="minorHAnsi"/>
          <w:b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B650FD" w:rsidRPr="0089768F" w14:paraId="27CBA9C0" w14:textId="77777777" w:rsidTr="00F7087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2CF8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Tavistock Investments Plc</w:t>
            </w:r>
          </w:p>
          <w:p w14:paraId="63B513F0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Oliver Cooke</w:t>
            </w:r>
          </w:p>
          <w:p w14:paraId="34CAC31E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Brian Raven</w:t>
            </w:r>
          </w:p>
          <w:p w14:paraId="61AC2313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6D31" w14:textId="77777777" w:rsidR="00B650FD" w:rsidRPr="00C56992" w:rsidRDefault="00B650FD" w:rsidP="00F70872">
            <w:pPr>
              <w:jc w:val="right"/>
              <w:rPr>
                <w:rFonts w:eastAsia="Times New Roman" w:cs="Calibri"/>
              </w:rPr>
            </w:pPr>
            <w:r w:rsidRPr="00C56992">
              <w:rPr>
                <w:rFonts w:eastAsia="Times New Roman" w:cs="Calibri"/>
              </w:rPr>
              <w:t>Tel: 01753 867000</w:t>
            </w:r>
          </w:p>
        </w:tc>
      </w:tr>
      <w:tr w:rsidR="00B650FD" w:rsidRPr="0089768F" w14:paraId="5312020C" w14:textId="77777777" w:rsidTr="00F7087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E006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Allenby Capital Limited</w:t>
            </w:r>
          </w:p>
          <w:p w14:paraId="530E25A3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(Nominated adviser and broker)</w:t>
            </w:r>
          </w:p>
          <w:p w14:paraId="60C6C7CA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Corporate Finance:</w:t>
            </w:r>
          </w:p>
          <w:p w14:paraId="44EB6799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lastRenderedPageBreak/>
              <w:t xml:space="preserve">Nick Naylor, </w:t>
            </w:r>
            <w:r>
              <w:rPr>
                <w:rFonts w:eastAsia="Times New Roman" w:cs="Calibri"/>
              </w:rPr>
              <w:t>Liz Kirchner</w:t>
            </w:r>
            <w:r w:rsidRPr="0089768F"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</w:rPr>
              <w:t>Dan Dearden-Williams</w:t>
            </w:r>
          </w:p>
          <w:p w14:paraId="15F242E8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Sales and Corporate Broking:</w:t>
            </w:r>
          </w:p>
          <w:p w14:paraId="09FD8E75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Tony Quirke</w:t>
            </w:r>
          </w:p>
          <w:p w14:paraId="5F4EDF9D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8451" w14:textId="77777777" w:rsidR="00B650FD" w:rsidRPr="0089768F" w:rsidRDefault="00B650FD" w:rsidP="00F70872">
            <w:pPr>
              <w:jc w:val="right"/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lastRenderedPageBreak/>
              <w:t>Tel: 020 3328 5656</w:t>
            </w:r>
          </w:p>
        </w:tc>
      </w:tr>
      <w:tr w:rsidR="00B650FD" w:rsidRPr="0089768F" w14:paraId="6615DDCB" w14:textId="77777777" w:rsidTr="00F7087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727A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89768F">
              <w:rPr>
                <w:rFonts w:eastAsia="Times New Roman" w:cs="Calibri"/>
                <w:b/>
                <w:bCs/>
              </w:rPr>
              <w:t>Powerscourt</w:t>
            </w:r>
          </w:p>
          <w:p w14:paraId="2165B6A5" w14:textId="77777777" w:rsidR="00B650FD" w:rsidRPr="0089768F" w:rsidRDefault="00B650FD" w:rsidP="00F70872">
            <w:pPr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Gilly Lock</w:t>
            </w:r>
          </w:p>
          <w:p w14:paraId="561CA963" w14:textId="77777777" w:rsidR="00B650FD" w:rsidRPr="0089768F" w:rsidRDefault="00B650FD" w:rsidP="00F70872">
            <w:pPr>
              <w:rPr>
                <w:rFonts w:eastAsia="Times New Roman" w:cs="Calibri"/>
                <w:b/>
                <w:bCs/>
              </w:rPr>
            </w:pPr>
            <w:r w:rsidRPr="00A80BAC">
              <w:rPr>
                <w:rFonts w:cstheme="minorHAnsi"/>
              </w:rPr>
              <w:t>Roxane Girard</w:t>
            </w:r>
            <w:r w:rsidRPr="0089768F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25D1" w14:textId="77777777" w:rsidR="00B650FD" w:rsidRPr="0089768F" w:rsidRDefault="00B650FD" w:rsidP="00F70872">
            <w:pPr>
              <w:jc w:val="right"/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Tel: 07711 380 007</w:t>
            </w:r>
          </w:p>
          <w:p w14:paraId="6F067726" w14:textId="77777777" w:rsidR="00B650FD" w:rsidRPr="0089768F" w:rsidRDefault="00B650FD" w:rsidP="00F70872">
            <w:pPr>
              <w:jc w:val="right"/>
              <w:rPr>
                <w:rFonts w:eastAsia="Times New Roman" w:cs="Calibri"/>
              </w:rPr>
            </w:pPr>
            <w:r w:rsidRPr="0089768F">
              <w:rPr>
                <w:rFonts w:eastAsia="Times New Roman" w:cs="Calibri"/>
              </w:rPr>
              <w:t>  020 7250 1446</w:t>
            </w:r>
          </w:p>
        </w:tc>
      </w:tr>
    </w:tbl>
    <w:p w14:paraId="2F356402" w14:textId="77777777" w:rsidR="00745664" w:rsidRDefault="00745664" w:rsidP="00681F5C"/>
    <w:sectPr w:rsidR="0074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83"/>
    <w:rsid w:val="00041E16"/>
    <w:rsid w:val="000540E1"/>
    <w:rsid w:val="000544A5"/>
    <w:rsid w:val="000650AA"/>
    <w:rsid w:val="000700D0"/>
    <w:rsid w:val="00086508"/>
    <w:rsid w:val="0009557D"/>
    <w:rsid w:val="000A51B6"/>
    <w:rsid w:val="000B5107"/>
    <w:rsid w:val="000C1684"/>
    <w:rsid w:val="000D268D"/>
    <w:rsid w:val="000E3C0C"/>
    <w:rsid w:val="000F1341"/>
    <w:rsid w:val="001125C0"/>
    <w:rsid w:val="00121694"/>
    <w:rsid w:val="00146B11"/>
    <w:rsid w:val="00156C82"/>
    <w:rsid w:val="00162A70"/>
    <w:rsid w:val="00184E53"/>
    <w:rsid w:val="00196528"/>
    <w:rsid w:val="001C618F"/>
    <w:rsid w:val="00205ABE"/>
    <w:rsid w:val="00215810"/>
    <w:rsid w:val="002230E2"/>
    <w:rsid w:val="00223DA2"/>
    <w:rsid w:val="00230CF4"/>
    <w:rsid w:val="00243623"/>
    <w:rsid w:val="00246483"/>
    <w:rsid w:val="00251723"/>
    <w:rsid w:val="002576ED"/>
    <w:rsid w:val="0026546C"/>
    <w:rsid w:val="00294E8D"/>
    <w:rsid w:val="002A29E6"/>
    <w:rsid w:val="002B63E3"/>
    <w:rsid w:val="002C0996"/>
    <w:rsid w:val="002C5613"/>
    <w:rsid w:val="002C6322"/>
    <w:rsid w:val="00313D1C"/>
    <w:rsid w:val="00322A9D"/>
    <w:rsid w:val="0035170C"/>
    <w:rsid w:val="00353562"/>
    <w:rsid w:val="00360169"/>
    <w:rsid w:val="003706CE"/>
    <w:rsid w:val="00371B6A"/>
    <w:rsid w:val="003A5E15"/>
    <w:rsid w:val="003B6822"/>
    <w:rsid w:val="003B7021"/>
    <w:rsid w:val="00410B18"/>
    <w:rsid w:val="00413525"/>
    <w:rsid w:val="00425E93"/>
    <w:rsid w:val="00466E88"/>
    <w:rsid w:val="00471C1C"/>
    <w:rsid w:val="00485E51"/>
    <w:rsid w:val="004A2275"/>
    <w:rsid w:val="004B3399"/>
    <w:rsid w:val="004B5F24"/>
    <w:rsid w:val="004D2A91"/>
    <w:rsid w:val="004D49E7"/>
    <w:rsid w:val="004E0DBD"/>
    <w:rsid w:val="004E4985"/>
    <w:rsid w:val="004F64BA"/>
    <w:rsid w:val="00500E05"/>
    <w:rsid w:val="00507D34"/>
    <w:rsid w:val="00522BCC"/>
    <w:rsid w:val="00530661"/>
    <w:rsid w:val="00533D84"/>
    <w:rsid w:val="005358B6"/>
    <w:rsid w:val="00544934"/>
    <w:rsid w:val="00544C83"/>
    <w:rsid w:val="00562DC8"/>
    <w:rsid w:val="00582973"/>
    <w:rsid w:val="00591B92"/>
    <w:rsid w:val="005B54D8"/>
    <w:rsid w:val="005C336F"/>
    <w:rsid w:val="005D59A2"/>
    <w:rsid w:val="005E41A0"/>
    <w:rsid w:val="006054A9"/>
    <w:rsid w:val="00681F5C"/>
    <w:rsid w:val="006979FB"/>
    <w:rsid w:val="00697E46"/>
    <w:rsid w:val="006B28D4"/>
    <w:rsid w:val="006C401B"/>
    <w:rsid w:val="006E3999"/>
    <w:rsid w:val="00702CF7"/>
    <w:rsid w:val="00745664"/>
    <w:rsid w:val="00756DAC"/>
    <w:rsid w:val="007702FC"/>
    <w:rsid w:val="007A457B"/>
    <w:rsid w:val="007B43CE"/>
    <w:rsid w:val="007C7FA9"/>
    <w:rsid w:val="007F08C1"/>
    <w:rsid w:val="0080205F"/>
    <w:rsid w:val="00814742"/>
    <w:rsid w:val="008323F3"/>
    <w:rsid w:val="00843EDA"/>
    <w:rsid w:val="00866BD4"/>
    <w:rsid w:val="00882D82"/>
    <w:rsid w:val="00886931"/>
    <w:rsid w:val="00890646"/>
    <w:rsid w:val="00896749"/>
    <w:rsid w:val="008C4AB7"/>
    <w:rsid w:val="008C5669"/>
    <w:rsid w:val="008D6308"/>
    <w:rsid w:val="008E3B86"/>
    <w:rsid w:val="008F3761"/>
    <w:rsid w:val="008F3934"/>
    <w:rsid w:val="00920B8F"/>
    <w:rsid w:val="00921FAB"/>
    <w:rsid w:val="00941096"/>
    <w:rsid w:val="009919C8"/>
    <w:rsid w:val="00995E63"/>
    <w:rsid w:val="009D1D78"/>
    <w:rsid w:val="009D65E3"/>
    <w:rsid w:val="009E34F2"/>
    <w:rsid w:val="00A177A3"/>
    <w:rsid w:val="00A3563D"/>
    <w:rsid w:val="00A57486"/>
    <w:rsid w:val="00A75785"/>
    <w:rsid w:val="00A768BB"/>
    <w:rsid w:val="00A86EDC"/>
    <w:rsid w:val="00AC3E48"/>
    <w:rsid w:val="00AD20CF"/>
    <w:rsid w:val="00AD23B3"/>
    <w:rsid w:val="00B0339D"/>
    <w:rsid w:val="00B650FD"/>
    <w:rsid w:val="00B72233"/>
    <w:rsid w:val="00B73786"/>
    <w:rsid w:val="00BA2841"/>
    <w:rsid w:val="00BD43BA"/>
    <w:rsid w:val="00BE7C0E"/>
    <w:rsid w:val="00BF2E8D"/>
    <w:rsid w:val="00C00E8D"/>
    <w:rsid w:val="00C21C4E"/>
    <w:rsid w:val="00C246A3"/>
    <w:rsid w:val="00C24C3B"/>
    <w:rsid w:val="00C27D51"/>
    <w:rsid w:val="00C36167"/>
    <w:rsid w:val="00C37583"/>
    <w:rsid w:val="00C50DEC"/>
    <w:rsid w:val="00C54566"/>
    <w:rsid w:val="00C778F9"/>
    <w:rsid w:val="00C9493F"/>
    <w:rsid w:val="00CB609A"/>
    <w:rsid w:val="00CE6DCE"/>
    <w:rsid w:val="00D22351"/>
    <w:rsid w:val="00D33F27"/>
    <w:rsid w:val="00D404D7"/>
    <w:rsid w:val="00D55713"/>
    <w:rsid w:val="00D65168"/>
    <w:rsid w:val="00D80099"/>
    <w:rsid w:val="00D91FF8"/>
    <w:rsid w:val="00D924EA"/>
    <w:rsid w:val="00D94B94"/>
    <w:rsid w:val="00DB4F57"/>
    <w:rsid w:val="00DF2CF4"/>
    <w:rsid w:val="00E15CC3"/>
    <w:rsid w:val="00E24BC0"/>
    <w:rsid w:val="00E412BF"/>
    <w:rsid w:val="00E50F9D"/>
    <w:rsid w:val="00E70072"/>
    <w:rsid w:val="00E83B77"/>
    <w:rsid w:val="00E87276"/>
    <w:rsid w:val="00EB4F55"/>
    <w:rsid w:val="00EB502B"/>
    <w:rsid w:val="00EB5780"/>
    <w:rsid w:val="00ED0EA7"/>
    <w:rsid w:val="00ED1591"/>
    <w:rsid w:val="00ED4697"/>
    <w:rsid w:val="00ED755F"/>
    <w:rsid w:val="00F11E1D"/>
    <w:rsid w:val="00F3525B"/>
    <w:rsid w:val="00F47A32"/>
    <w:rsid w:val="00F512CD"/>
    <w:rsid w:val="00F824B8"/>
    <w:rsid w:val="00F93EB4"/>
    <w:rsid w:val="00FC2BDC"/>
    <w:rsid w:val="00FC548C"/>
    <w:rsid w:val="00FE1A96"/>
    <w:rsid w:val="00FE7A9E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810F"/>
  <w15:chartTrackingRefBased/>
  <w15:docId w15:val="{AA3EFD8E-4825-4E47-9C80-C59FEBD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F55"/>
    <w:pPr>
      <w:spacing w:after="80" w:line="240" w:lineRule="auto"/>
      <w:jc w:val="both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7B911F907344CBA8B01A70642EC54" ma:contentTypeVersion="22" ma:contentTypeDescription="Create a new document." ma:contentTypeScope="" ma:versionID="bd41f5db3baaaaf9454551fdd23972f0">
  <xsd:schema xmlns:xsd="http://www.w3.org/2001/XMLSchema" xmlns:xs="http://www.w3.org/2001/XMLSchema" xmlns:p="http://schemas.microsoft.com/office/2006/metadata/properties" xmlns:ns1="http://schemas.microsoft.com/sharepoint/v3" xmlns:ns2="408f9518-7230-4f9b-ad14-69b2885d9a49" xmlns:ns3="8700505b-58b0-4025-b1b1-49349b622e8b" targetNamespace="http://schemas.microsoft.com/office/2006/metadata/properties" ma:root="true" ma:fieldsID="fda17f296f07dac3eaaaff927dcf188f" ns1:_="" ns2:_="" ns3:_="">
    <xsd:import namespace="http://schemas.microsoft.com/sharepoint/v3"/>
    <xsd:import namespace="408f9518-7230-4f9b-ad14-69b2885d9a49"/>
    <xsd:import namespace="8700505b-58b0-4025-b1b1-49349b622e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9518-7230-4f9b-ad14-69b2885d9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38613cf-dcbd-4d1f-a98a-ac1dab320160}" ma:internalName="TaxCatchAll" ma:showField="CatchAllData" ma:web="408f9518-7230-4f9b-ad14-69b2885d9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505b-58b0-4025-b1b1-49349b62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47db20a-6f9b-4f44-af6c-da7c85cf1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2098-10-31T16:59:04+00:00</_dlc_ExpireDate>
    <_dlc_ExpireDateSaved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700505b-58b0-4025-b1b1-49349b622e8b">
      <Terms xmlns="http://schemas.microsoft.com/office/infopath/2007/PartnerControls"/>
    </lcf76f155ced4ddcb4097134ff3c332f>
    <TaxCatchAll xmlns="408f9518-7230-4f9b-ad14-69b2885d9a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9A192-766A-4DD4-B566-D7A3F956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f9518-7230-4f9b-ad14-69b2885d9a49"/>
    <ds:schemaRef ds:uri="8700505b-58b0-4025-b1b1-49349b622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063E-7E5D-4E37-A512-1D61A72A57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00505b-58b0-4025-b1b1-49349b622e8b"/>
    <ds:schemaRef ds:uri="408f9518-7230-4f9b-ad14-69b2885d9a49"/>
  </ds:schemaRefs>
</ds:datastoreItem>
</file>

<file path=customXml/itemProps3.xml><?xml version="1.0" encoding="utf-8"?>
<ds:datastoreItem xmlns:ds="http://schemas.openxmlformats.org/officeDocument/2006/customXml" ds:itemID="{7C5D2573-E222-4FE3-BB18-18F6124E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Cooke</dc:creator>
  <cp:keywords/>
  <dc:description/>
  <cp:lastModifiedBy>Daniel Dearden-Williams</cp:lastModifiedBy>
  <cp:revision>18</cp:revision>
  <dcterms:created xsi:type="dcterms:W3CDTF">2022-10-31T10:14:00Z</dcterms:created>
  <dcterms:modified xsi:type="dcterms:W3CDTF">2023-10-31T16:59:00Z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0x010100E8C7B911F907344CBA8B01A70642EC54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