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3B" w14:textId="77777777" w:rsidR="00873B83" w:rsidRDefault="00873B83" w:rsidP="00873B83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  <w:r w:rsidRPr="0089768F">
        <w:rPr>
          <w:rFonts w:ascii="Calibri" w:hAnsi="Calibri" w:cs="Calibri"/>
          <w:b/>
          <w:bCs/>
          <w:color w:val="212721"/>
          <w:sz w:val="22"/>
          <w:szCs w:val="22"/>
        </w:rPr>
        <w:t>Tavistock Investments Plc</w:t>
      </w:r>
    </w:p>
    <w:p w14:paraId="6191DD72" w14:textId="77777777" w:rsidR="00873B83" w:rsidRPr="0089768F" w:rsidRDefault="00873B83" w:rsidP="00873B83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</w:p>
    <w:p w14:paraId="33E95567" w14:textId="77777777" w:rsidR="00873B83" w:rsidRDefault="00873B83" w:rsidP="00873B83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  <w:r w:rsidRPr="0089768F">
        <w:rPr>
          <w:rFonts w:ascii="Calibri" w:hAnsi="Calibri" w:cs="Calibri"/>
          <w:color w:val="212721"/>
          <w:sz w:val="22"/>
          <w:szCs w:val="22"/>
        </w:rPr>
        <w:t>("Tavistock" or the "Company")</w:t>
      </w:r>
    </w:p>
    <w:p w14:paraId="5F4E5779" w14:textId="77777777" w:rsidR="00004EC0" w:rsidRDefault="00004EC0" w:rsidP="00873B83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</w:p>
    <w:p w14:paraId="62348BDF" w14:textId="75E83717" w:rsidR="00D17C45" w:rsidRPr="00D17C45" w:rsidRDefault="00D17C45" w:rsidP="00D17C45">
      <w:pPr>
        <w:spacing w:after="160" w:line="256" w:lineRule="auto"/>
        <w:jc w:val="center"/>
        <w:rPr>
          <w:rFonts w:ascii="Calibri" w:eastAsia="Times New Roman" w:hAnsi="Calibri" w:cs="Times New Roman"/>
          <w:b/>
          <w:bCs/>
          <w:lang w:eastAsia="en-GB"/>
        </w:rPr>
      </w:pPr>
      <w:r w:rsidRPr="00D17C45">
        <w:rPr>
          <w:rFonts w:ascii="Calibri" w:eastAsia="Times New Roman" w:hAnsi="Calibri" w:cs="Times New Roman"/>
          <w:b/>
          <w:bCs/>
          <w:lang w:eastAsia="en-GB"/>
        </w:rPr>
        <w:t xml:space="preserve">PDMR </w:t>
      </w:r>
      <w:r w:rsidR="004B4FA0">
        <w:rPr>
          <w:rFonts w:ascii="Calibri" w:eastAsia="Times New Roman" w:hAnsi="Calibri" w:cs="Times New Roman"/>
          <w:b/>
          <w:bCs/>
          <w:lang w:eastAsia="en-GB"/>
        </w:rPr>
        <w:t>Dealing</w:t>
      </w:r>
    </w:p>
    <w:p w14:paraId="4B794BC4" w14:textId="7976B369" w:rsidR="00B42837" w:rsidRPr="001E7724" w:rsidRDefault="006C52FE" w:rsidP="001E7724">
      <w:pPr>
        <w:spacing w:after="160" w:line="256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0</w:t>
      </w:r>
      <w:r w:rsidR="000511C9">
        <w:rPr>
          <w:rFonts w:ascii="Calibri" w:eastAsia="Times New Roman" w:hAnsi="Calibri" w:cs="Times New Roman"/>
          <w:lang w:eastAsia="en-GB"/>
        </w:rPr>
        <w:t>8</w:t>
      </w:r>
      <w:r w:rsidR="001E7724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January</w:t>
      </w:r>
      <w:r w:rsidR="001E7724">
        <w:rPr>
          <w:rFonts w:ascii="Calibri" w:eastAsia="Times New Roman" w:hAnsi="Calibri" w:cs="Times New Roman"/>
          <w:lang w:eastAsia="en-GB"/>
        </w:rPr>
        <w:t xml:space="preserve"> 202</w:t>
      </w:r>
      <w:r>
        <w:rPr>
          <w:rFonts w:ascii="Calibri" w:eastAsia="Times New Roman" w:hAnsi="Calibri" w:cs="Times New Roman"/>
          <w:lang w:eastAsia="en-GB"/>
        </w:rPr>
        <w:t>4</w:t>
      </w:r>
    </w:p>
    <w:p w14:paraId="14E6DDB4" w14:textId="0B300BDB" w:rsidR="00D17C45" w:rsidRPr="00D17C45" w:rsidRDefault="00D17C45" w:rsidP="001E7724">
      <w:pPr>
        <w:spacing w:after="160" w:line="256" w:lineRule="auto"/>
        <w:rPr>
          <w:rFonts w:ascii="Calibri" w:eastAsia="Times New Roman" w:hAnsi="Calibri" w:cs="Times New Roman"/>
          <w:b/>
          <w:bCs/>
          <w:lang w:eastAsia="en-GB"/>
        </w:rPr>
      </w:pPr>
    </w:p>
    <w:p w14:paraId="77D4073F" w14:textId="38DD7C19" w:rsidR="00C0798F" w:rsidRDefault="00C0798F" w:rsidP="00C0798F">
      <w:pPr>
        <w:pStyle w:val="ao"/>
        <w:spacing w:before="0" w:beforeAutospacing="0" w:line="23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Tavistock announces that </w:t>
      </w:r>
      <w:r w:rsidR="000D4FCD">
        <w:rPr>
          <w:rFonts w:ascii="Calibri" w:hAnsi="Calibri"/>
          <w:color w:val="000000"/>
          <w:sz w:val="22"/>
          <w:szCs w:val="22"/>
        </w:rPr>
        <w:t xml:space="preserve">it has today been advised that </w:t>
      </w:r>
      <w:r>
        <w:rPr>
          <w:rFonts w:ascii="Calibri" w:hAnsi="Calibri"/>
          <w:color w:val="000000"/>
          <w:sz w:val="22"/>
          <w:szCs w:val="22"/>
        </w:rPr>
        <w:t xml:space="preserve">the Company's </w:t>
      </w:r>
      <w:r w:rsidR="00FC0459">
        <w:rPr>
          <w:rFonts w:ascii="Calibri" w:hAnsi="Calibri"/>
          <w:color w:val="000000"/>
          <w:sz w:val="22"/>
          <w:szCs w:val="22"/>
        </w:rPr>
        <w:t>Chief Executive, Brian Raven</w:t>
      </w:r>
      <w:r w:rsidR="005B22B4">
        <w:rPr>
          <w:rFonts w:ascii="Calibri" w:hAnsi="Calibri"/>
          <w:color w:val="000000"/>
          <w:sz w:val="22"/>
          <w:szCs w:val="22"/>
        </w:rPr>
        <w:t xml:space="preserve">, </w:t>
      </w:r>
      <w:r w:rsidR="00C8441A">
        <w:rPr>
          <w:rFonts w:ascii="Calibri" w:hAnsi="Calibri"/>
          <w:color w:val="000000"/>
          <w:sz w:val="22"/>
          <w:szCs w:val="22"/>
        </w:rPr>
        <w:t>ha</w:t>
      </w:r>
      <w:r w:rsidR="00257F7E">
        <w:rPr>
          <w:rFonts w:ascii="Calibri" w:hAnsi="Calibri"/>
          <w:color w:val="000000"/>
          <w:sz w:val="22"/>
          <w:szCs w:val="22"/>
        </w:rPr>
        <w:t>s</w:t>
      </w:r>
      <w:r w:rsidR="00C8441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purchase</w:t>
      </w:r>
      <w:r w:rsidR="006E4EE6">
        <w:rPr>
          <w:rFonts w:ascii="Calibri" w:hAnsi="Calibri"/>
          <w:color w:val="000000"/>
          <w:sz w:val="22"/>
          <w:szCs w:val="22"/>
        </w:rPr>
        <w:t>d</w:t>
      </w:r>
      <w:r w:rsidR="008A3871">
        <w:rPr>
          <w:rFonts w:ascii="Calibri" w:hAnsi="Calibri"/>
          <w:color w:val="000000"/>
          <w:sz w:val="22"/>
          <w:szCs w:val="22"/>
        </w:rPr>
        <w:t xml:space="preserve"> </w:t>
      </w:r>
      <w:r w:rsidR="00A40F6A">
        <w:rPr>
          <w:rFonts w:ascii="Calibri" w:hAnsi="Calibri"/>
          <w:color w:val="000000"/>
          <w:sz w:val="22"/>
          <w:szCs w:val="22"/>
        </w:rPr>
        <w:t>5</w:t>
      </w:r>
      <w:r w:rsidR="000511C9">
        <w:rPr>
          <w:rFonts w:ascii="Calibri" w:hAnsi="Calibri"/>
          <w:color w:val="000000"/>
          <w:sz w:val="22"/>
          <w:szCs w:val="22"/>
        </w:rPr>
        <w:t>2</w:t>
      </w:r>
      <w:r w:rsidR="00F7016A">
        <w:rPr>
          <w:rFonts w:ascii="Calibri" w:hAnsi="Calibri"/>
          <w:color w:val="000000"/>
          <w:sz w:val="22"/>
          <w:szCs w:val="22"/>
        </w:rPr>
        <w:t>,</w:t>
      </w:r>
      <w:r w:rsidR="00257F7E">
        <w:rPr>
          <w:rFonts w:ascii="Calibri" w:hAnsi="Calibri"/>
          <w:color w:val="000000"/>
          <w:sz w:val="22"/>
          <w:szCs w:val="22"/>
        </w:rPr>
        <w:t>00</w:t>
      </w:r>
      <w:r w:rsidR="001C063C">
        <w:rPr>
          <w:rFonts w:ascii="Calibri" w:hAnsi="Calibri"/>
          <w:color w:val="000000"/>
          <w:sz w:val="22"/>
          <w:szCs w:val="22"/>
        </w:rPr>
        <w:t>0</w:t>
      </w:r>
      <w:r w:rsidR="005E2DCE">
        <w:rPr>
          <w:rFonts w:ascii="Calibri" w:hAnsi="Calibri"/>
          <w:color w:val="000000"/>
          <w:sz w:val="22"/>
          <w:szCs w:val="22"/>
        </w:rPr>
        <w:t xml:space="preserve"> </w:t>
      </w:r>
      <w:r w:rsidR="008A3871">
        <w:rPr>
          <w:rFonts w:ascii="Calibri" w:hAnsi="Calibri"/>
          <w:color w:val="000000"/>
          <w:sz w:val="22"/>
          <w:szCs w:val="22"/>
        </w:rPr>
        <w:t xml:space="preserve">ordinary </w:t>
      </w:r>
      <w:r>
        <w:rPr>
          <w:rFonts w:ascii="Calibri" w:hAnsi="Calibri"/>
          <w:color w:val="000000"/>
          <w:sz w:val="22"/>
          <w:szCs w:val="22"/>
        </w:rPr>
        <w:t xml:space="preserve">shares of 1p each in the capital of the Company at </w:t>
      </w:r>
      <w:r w:rsidR="00496F7D">
        <w:rPr>
          <w:rFonts w:ascii="Calibri" w:hAnsi="Calibri"/>
          <w:color w:val="000000"/>
          <w:sz w:val="22"/>
          <w:szCs w:val="22"/>
        </w:rPr>
        <w:t>a</w:t>
      </w:r>
      <w:r w:rsidR="00087BCB">
        <w:rPr>
          <w:rFonts w:ascii="Calibri" w:hAnsi="Calibri"/>
          <w:color w:val="000000"/>
          <w:sz w:val="22"/>
          <w:szCs w:val="22"/>
        </w:rPr>
        <w:t>n</w:t>
      </w:r>
      <w:r w:rsidR="00496F7D">
        <w:rPr>
          <w:rFonts w:ascii="Calibri" w:hAnsi="Calibri"/>
          <w:color w:val="000000"/>
          <w:sz w:val="22"/>
          <w:szCs w:val="22"/>
        </w:rPr>
        <w:t xml:space="preserve"> </w:t>
      </w:r>
      <w:r w:rsidR="00087BCB">
        <w:rPr>
          <w:rFonts w:ascii="Calibri" w:hAnsi="Calibri"/>
          <w:color w:val="000000"/>
          <w:sz w:val="22"/>
          <w:szCs w:val="22"/>
        </w:rPr>
        <w:t xml:space="preserve">average </w:t>
      </w:r>
      <w:r>
        <w:rPr>
          <w:rFonts w:ascii="Calibri" w:hAnsi="Calibri"/>
          <w:color w:val="000000"/>
          <w:sz w:val="22"/>
          <w:szCs w:val="22"/>
        </w:rPr>
        <w:t xml:space="preserve">price of </w:t>
      </w:r>
      <w:r w:rsidR="00E725DC">
        <w:rPr>
          <w:rFonts w:ascii="Calibri" w:hAnsi="Calibri"/>
          <w:color w:val="000000"/>
          <w:sz w:val="22"/>
          <w:szCs w:val="22"/>
        </w:rPr>
        <w:t>4.</w:t>
      </w:r>
      <w:r w:rsidR="00141353">
        <w:rPr>
          <w:rFonts w:ascii="Calibri" w:hAnsi="Calibri"/>
          <w:color w:val="000000"/>
          <w:sz w:val="22"/>
          <w:szCs w:val="22"/>
        </w:rPr>
        <w:t>8</w:t>
      </w:r>
      <w:r>
        <w:rPr>
          <w:rFonts w:ascii="Calibri" w:hAnsi="Calibri"/>
          <w:color w:val="000000"/>
          <w:sz w:val="22"/>
          <w:szCs w:val="22"/>
        </w:rPr>
        <w:t>p</w:t>
      </w:r>
      <w:r w:rsidR="004F7137">
        <w:rPr>
          <w:rFonts w:ascii="Calibri" w:hAnsi="Calibri"/>
          <w:color w:val="000000"/>
          <w:sz w:val="22"/>
          <w:szCs w:val="22"/>
        </w:rPr>
        <w:t>.</w:t>
      </w:r>
    </w:p>
    <w:p w14:paraId="09A59F83" w14:textId="57091DF7" w:rsidR="0099016E" w:rsidRDefault="00C0798F" w:rsidP="0099016E">
      <w:pPr>
        <w:pStyle w:val="ao"/>
        <w:spacing w:before="0" w:beforeAutospacing="0" w:after="0" w:afterAutospacing="0" w:line="23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Following </w:t>
      </w:r>
      <w:r w:rsidR="008A3871">
        <w:rPr>
          <w:rFonts w:ascii="Calibri" w:hAnsi="Calibri"/>
          <w:color w:val="000000"/>
          <w:sz w:val="22"/>
          <w:szCs w:val="22"/>
        </w:rPr>
        <w:t>th</w:t>
      </w:r>
      <w:r w:rsidR="00113129">
        <w:rPr>
          <w:rFonts w:ascii="Calibri" w:hAnsi="Calibri"/>
          <w:color w:val="000000"/>
          <w:sz w:val="22"/>
          <w:szCs w:val="22"/>
        </w:rPr>
        <w:t>is</w:t>
      </w:r>
      <w:r w:rsidR="008A3871">
        <w:rPr>
          <w:rFonts w:ascii="Calibri" w:hAnsi="Calibri"/>
          <w:color w:val="000000"/>
          <w:sz w:val="22"/>
          <w:szCs w:val="22"/>
        </w:rPr>
        <w:t xml:space="preserve"> transaction</w:t>
      </w:r>
      <w:r w:rsidR="0099016E">
        <w:rPr>
          <w:rFonts w:ascii="Calibri" w:hAnsi="Calibri"/>
          <w:color w:val="000000"/>
          <w:sz w:val="22"/>
          <w:szCs w:val="22"/>
        </w:rPr>
        <w:t xml:space="preserve">, </w:t>
      </w:r>
      <w:r w:rsidR="00390AFC">
        <w:rPr>
          <w:rFonts w:ascii="Calibri" w:hAnsi="Calibri"/>
          <w:color w:val="000000"/>
          <w:sz w:val="22"/>
          <w:szCs w:val="22"/>
        </w:rPr>
        <w:t xml:space="preserve">Mr </w:t>
      </w:r>
      <w:r w:rsidR="00F54961">
        <w:rPr>
          <w:rFonts w:ascii="Calibri" w:hAnsi="Calibri"/>
          <w:color w:val="000000"/>
          <w:sz w:val="22"/>
          <w:szCs w:val="22"/>
        </w:rPr>
        <w:t>Raven</w:t>
      </w:r>
      <w:r w:rsidR="00390AFC">
        <w:rPr>
          <w:rFonts w:ascii="Calibri" w:hAnsi="Calibri"/>
          <w:color w:val="000000"/>
          <w:sz w:val="22"/>
          <w:szCs w:val="22"/>
        </w:rPr>
        <w:t xml:space="preserve"> is interested in </w:t>
      </w:r>
      <w:r w:rsidR="00113129">
        <w:rPr>
          <w:rFonts w:ascii="Calibri" w:hAnsi="Calibri"/>
          <w:color w:val="000000"/>
          <w:sz w:val="22"/>
          <w:szCs w:val="22"/>
        </w:rPr>
        <w:t>70</w:t>
      </w:r>
      <w:r w:rsidR="00F54961">
        <w:rPr>
          <w:rFonts w:ascii="Calibri" w:hAnsi="Calibri"/>
          <w:color w:val="000000"/>
          <w:sz w:val="22"/>
          <w:szCs w:val="22"/>
        </w:rPr>
        <w:t>,</w:t>
      </w:r>
      <w:r w:rsidR="00594C0E">
        <w:rPr>
          <w:rFonts w:ascii="Calibri" w:hAnsi="Calibri"/>
          <w:color w:val="000000"/>
          <w:sz w:val="22"/>
          <w:szCs w:val="22"/>
        </w:rPr>
        <w:t>812</w:t>
      </w:r>
      <w:r w:rsidR="00F54961">
        <w:rPr>
          <w:rFonts w:ascii="Calibri" w:hAnsi="Calibri"/>
          <w:color w:val="000000"/>
          <w:sz w:val="22"/>
          <w:szCs w:val="22"/>
        </w:rPr>
        <w:t>,932</w:t>
      </w:r>
      <w:r w:rsidR="005E6647">
        <w:rPr>
          <w:rFonts w:ascii="Calibri" w:hAnsi="Calibri"/>
          <w:color w:val="000000"/>
          <w:sz w:val="22"/>
          <w:szCs w:val="22"/>
        </w:rPr>
        <w:t xml:space="preserve"> ordinary shares of 1p each representing</w:t>
      </w:r>
      <w:r w:rsidR="00474FBA">
        <w:rPr>
          <w:rFonts w:ascii="Calibri" w:hAnsi="Calibri"/>
          <w:color w:val="000000"/>
          <w:sz w:val="22"/>
          <w:szCs w:val="22"/>
        </w:rPr>
        <w:t xml:space="preserve"> </w:t>
      </w:r>
      <w:r w:rsidR="00233A36">
        <w:rPr>
          <w:rFonts w:ascii="Calibri" w:hAnsi="Calibri"/>
          <w:color w:val="000000"/>
          <w:sz w:val="22"/>
          <w:szCs w:val="22"/>
        </w:rPr>
        <w:t>12.</w:t>
      </w:r>
      <w:r w:rsidR="003A2B73">
        <w:rPr>
          <w:rFonts w:ascii="Calibri" w:hAnsi="Calibri"/>
          <w:color w:val="000000"/>
          <w:sz w:val="22"/>
          <w:szCs w:val="22"/>
        </w:rPr>
        <w:t>6</w:t>
      </w:r>
      <w:r w:rsidR="00E408D2">
        <w:rPr>
          <w:rFonts w:ascii="Calibri" w:hAnsi="Calibri"/>
          <w:color w:val="000000"/>
          <w:sz w:val="22"/>
          <w:szCs w:val="22"/>
        </w:rPr>
        <w:t>4</w:t>
      </w:r>
      <w:r w:rsidR="00474FBA">
        <w:rPr>
          <w:rFonts w:ascii="Calibri" w:hAnsi="Calibri"/>
          <w:color w:val="000000"/>
          <w:sz w:val="22"/>
          <w:szCs w:val="22"/>
        </w:rPr>
        <w:t xml:space="preserve"> per cent. of the </w:t>
      </w:r>
      <w:r w:rsidR="009C6043">
        <w:rPr>
          <w:rFonts w:ascii="Calibri" w:hAnsi="Calibri"/>
          <w:color w:val="000000"/>
          <w:sz w:val="22"/>
          <w:szCs w:val="22"/>
        </w:rPr>
        <w:t>issued share capital of the Company</w:t>
      </w:r>
      <w:r w:rsidR="00233A36">
        <w:rPr>
          <w:rFonts w:ascii="Calibri" w:hAnsi="Calibri"/>
          <w:color w:val="000000"/>
          <w:sz w:val="22"/>
          <w:szCs w:val="22"/>
        </w:rPr>
        <w:t>.</w:t>
      </w:r>
    </w:p>
    <w:p w14:paraId="3B6EE625" w14:textId="77777777" w:rsidR="0099016E" w:rsidRDefault="0099016E" w:rsidP="0099016E">
      <w:pPr>
        <w:pStyle w:val="ao"/>
        <w:spacing w:before="0" w:beforeAutospacing="0" w:after="0" w:afterAutospacing="0" w:line="233" w:lineRule="atLeast"/>
        <w:jc w:val="both"/>
        <w:rPr>
          <w:rFonts w:ascii="Calibri" w:hAnsi="Calibri"/>
          <w:b/>
          <w:bCs/>
        </w:rPr>
      </w:pPr>
    </w:p>
    <w:p w14:paraId="0E13CDF0" w14:textId="77777777" w:rsidR="006E0B9A" w:rsidRPr="0089768F" w:rsidRDefault="006E0B9A" w:rsidP="006E0B9A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768F">
        <w:rPr>
          <w:rFonts w:ascii="Calibri" w:eastAsia="Times New Roman" w:hAnsi="Calibri" w:cs="Calibri"/>
          <w:b/>
          <w:bCs/>
          <w:lang w:eastAsia="en-GB"/>
        </w:rPr>
        <w:t>For further information:</w:t>
      </w:r>
    </w:p>
    <w:p w14:paraId="28D032F3" w14:textId="77777777" w:rsidR="006E0B9A" w:rsidRPr="0089768F" w:rsidRDefault="006E0B9A" w:rsidP="006E0B9A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768F">
        <w:rPr>
          <w:rFonts w:ascii="Calibri" w:eastAsia="Times New Roman" w:hAnsi="Calibri" w:cs="Calibri"/>
          <w:b/>
          <w:bCs/>
          <w:lang w:eastAsia="en-GB"/>
        </w:rPr>
        <w:t> </w:t>
      </w:r>
    </w:p>
    <w:tbl>
      <w:tblPr>
        <w:tblW w:w="1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1957"/>
      </w:tblGrid>
      <w:tr w:rsidR="006E0B9A" w:rsidRPr="0089768F" w14:paraId="58FBC35B" w14:textId="77777777" w:rsidTr="0077200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680C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Tavistock Investments Plc</w:t>
            </w:r>
          </w:p>
          <w:p w14:paraId="5987710B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Oliver Cooke</w:t>
            </w:r>
          </w:p>
          <w:p w14:paraId="3C08A749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Brian Raven</w:t>
            </w:r>
          </w:p>
          <w:p w14:paraId="330671C3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224E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01753 867000</w:t>
            </w:r>
          </w:p>
        </w:tc>
      </w:tr>
      <w:tr w:rsidR="006E0B9A" w:rsidRPr="0089768F" w14:paraId="4B369E6B" w14:textId="77777777" w:rsidTr="0077200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5CAA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Allenby Capital Limited</w:t>
            </w:r>
          </w:p>
          <w:p w14:paraId="1D29C119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(Nominated adviser and broker)</w:t>
            </w:r>
          </w:p>
          <w:p w14:paraId="65E19FAA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Corporate Finance:</w:t>
            </w:r>
          </w:p>
          <w:p w14:paraId="1BB736D2" w14:textId="3A9684FB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 xml:space="preserve">Nick Naylor, Liz Kirchner, </w:t>
            </w:r>
            <w:r w:rsidR="00862577" w:rsidRPr="00DE3592">
              <w:rPr>
                <w:rFonts w:eastAsia="Times New Roman" w:cstheme="minorHAnsi"/>
                <w:color w:val="212721"/>
              </w:rPr>
              <w:t>Daniel Dearden-Williams</w:t>
            </w:r>
          </w:p>
          <w:p w14:paraId="5EBEC5A4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Sales and Corporate Broking:</w:t>
            </w:r>
          </w:p>
          <w:p w14:paraId="57B11CFD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Tony Quirke</w:t>
            </w:r>
          </w:p>
          <w:p w14:paraId="40B1EBC7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1148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020 3328 5656</w:t>
            </w:r>
          </w:p>
        </w:tc>
      </w:tr>
      <w:tr w:rsidR="006E0B9A" w:rsidRPr="0089768F" w14:paraId="1A8A0CAA" w14:textId="77777777" w:rsidTr="00772000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4F9B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Powerscourt</w:t>
            </w:r>
          </w:p>
          <w:p w14:paraId="01C2B3E5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Gilly Lock</w:t>
            </w:r>
          </w:p>
          <w:p w14:paraId="3C625875" w14:textId="42809301" w:rsidR="00CD0137" w:rsidRPr="00DE3592" w:rsidRDefault="00CD0137" w:rsidP="00CD0137">
            <w:pPr>
              <w:spacing w:after="0" w:line="240" w:lineRule="auto"/>
              <w:ind w:left="-74"/>
              <w:jc w:val="both"/>
              <w:rPr>
                <w:rFonts w:eastAsia="Times New Roman" w:cstheme="minorHAnsi"/>
                <w:color w:val="212721"/>
              </w:rPr>
            </w:pPr>
            <w:r>
              <w:rPr>
                <w:rFonts w:eastAsia="Times New Roman" w:cstheme="minorHAnsi"/>
                <w:color w:val="212721"/>
              </w:rPr>
              <w:t xml:space="preserve">  </w:t>
            </w:r>
            <w:r w:rsidRPr="00DE3592">
              <w:rPr>
                <w:rFonts w:eastAsia="Times New Roman" w:cstheme="minorHAnsi"/>
                <w:color w:val="212721"/>
              </w:rPr>
              <w:t>Roxane Girard</w:t>
            </w:r>
          </w:p>
          <w:p w14:paraId="2373A9D0" w14:textId="77777777" w:rsidR="006E0B9A" w:rsidRPr="0089768F" w:rsidRDefault="006E0B9A" w:rsidP="0078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623C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07711 380 007</w:t>
            </w:r>
          </w:p>
          <w:p w14:paraId="5233712F" w14:textId="77777777" w:rsidR="006E0B9A" w:rsidRPr="0089768F" w:rsidRDefault="006E0B9A" w:rsidP="007720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  020 7250 1446</w:t>
            </w:r>
          </w:p>
        </w:tc>
      </w:tr>
    </w:tbl>
    <w:p w14:paraId="5366779F" w14:textId="3304B53E" w:rsidR="00D17C45" w:rsidRPr="00D17C45" w:rsidRDefault="00D17C45" w:rsidP="00D17C45">
      <w:pPr>
        <w:spacing w:after="27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>The notification</w:t>
      </w:r>
      <w:r w:rsidR="00FA0843">
        <w:rPr>
          <w:rFonts w:ascii="Arial" w:eastAsia="Times New Roman" w:hAnsi="Arial" w:cs="Arial"/>
          <w:color w:val="000000"/>
          <w:sz w:val="20"/>
          <w:lang w:eastAsia="en-GB"/>
        </w:rPr>
        <w:t>s</w:t>
      </w: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 xml:space="preserve"> below, made in accordance with the requirements of the </w:t>
      </w:r>
      <w:r w:rsidR="00B34E16">
        <w:rPr>
          <w:rFonts w:ascii="Arial" w:eastAsia="Times New Roman" w:hAnsi="Arial" w:cs="Arial"/>
          <w:color w:val="000000"/>
          <w:sz w:val="20"/>
          <w:lang w:eastAsia="en-GB"/>
        </w:rPr>
        <w:t>UK</w:t>
      </w:r>
      <w:r w:rsidR="00B34E16" w:rsidRPr="00D17C45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>Market Abuse Regulation, provide further detail.</w:t>
      </w:r>
    </w:p>
    <w:p w14:paraId="1D07E335" w14:textId="700F94DC" w:rsidR="00D17C45" w:rsidRDefault="00D17C45" w:rsidP="00D17C4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en-GB"/>
        </w:rPr>
      </w:pPr>
      <w:r w:rsidRPr="00D17C45">
        <w:rPr>
          <w:rFonts w:ascii="Arial" w:eastAsia="Times New Roman" w:hAnsi="Arial" w:cs="Arial"/>
          <w:color w:val="000000"/>
          <w:sz w:val="20"/>
          <w:lang w:eastAsia="en-GB"/>
        </w:rPr>
        <w:t>Notification and public disclosure of transactions by persons discharging managerial responsibilities and persons closely associated with them.</w:t>
      </w:r>
    </w:p>
    <w:tbl>
      <w:tblPr>
        <w:tblW w:w="902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06"/>
        <w:gridCol w:w="3802"/>
      </w:tblGrid>
      <w:tr w:rsidR="00AE0ABC" w:rsidRPr="00D17C45" w14:paraId="24F76E58" w14:textId="77777777" w:rsidTr="00B2285E">
        <w:trPr>
          <w:trHeight w:val="574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C363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9CA01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Details of the person discharging managerial responsibilities / person closely associated</w:t>
            </w:r>
          </w:p>
        </w:tc>
      </w:tr>
      <w:tr w:rsidR="00AE0ABC" w:rsidRPr="00D17C45" w14:paraId="4C630121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50E1B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EEDD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27F15B" w14:textId="4498ED4A" w:rsidR="00AE0ABC" w:rsidRPr="00D17C45" w:rsidRDefault="0035678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="00F25B7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Brian Raven</w:t>
            </w:r>
            <w:r w:rsidR="00AE0ABC"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AE0ABC" w:rsidRPr="00D17C45" w14:paraId="0E687F4D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F3D5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1BB4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Reason for the notification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9755F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urchase of shares</w:t>
            </w:r>
          </w:p>
        </w:tc>
      </w:tr>
      <w:tr w:rsidR="00AE0ABC" w:rsidRPr="00D17C45" w14:paraId="312F07BA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E872E1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8C0DA3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Position/status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F3EF46" w14:textId="31CFDE93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="00F25B7A">
              <w:rPr>
                <w:rFonts w:ascii="Arial" w:hAnsi="Arial" w:cs="Arial"/>
                <w:color w:val="000000"/>
                <w:sz w:val="20"/>
                <w:szCs w:val="20"/>
              </w:rPr>
              <w:t>ief Executive</w:t>
            </w:r>
          </w:p>
        </w:tc>
      </w:tr>
      <w:tr w:rsidR="00AE0ABC" w:rsidRPr="00D17C45" w14:paraId="68D04703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48465B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b)</w:t>
            </w:r>
          </w:p>
          <w:p w14:paraId="13BFFE75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1897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Initial notification /Amendment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3BEE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Initial notification</w:t>
            </w:r>
          </w:p>
        </w:tc>
      </w:tr>
      <w:tr w:rsidR="00AE0ABC" w:rsidRPr="00D17C45" w14:paraId="0226B95B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131C8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3</w:t>
            </w:r>
          </w:p>
          <w:p w14:paraId="751F8A83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1C105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Details of the issuer, emission allowance market participant, auction platform, auctioneer or auction monitor</w:t>
            </w:r>
          </w:p>
        </w:tc>
      </w:tr>
      <w:tr w:rsidR="00AE0ABC" w:rsidRPr="00D17C45" w14:paraId="507DC76F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1980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2E2D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56B3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Tavistock Investments Plc </w:t>
            </w:r>
          </w:p>
        </w:tc>
      </w:tr>
      <w:tr w:rsidR="00AE0ABC" w:rsidRPr="00D17C45" w14:paraId="490CED83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8D39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BAA977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LEI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041100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21380078QEABEGTVT16</w:t>
            </w:r>
          </w:p>
        </w:tc>
      </w:tr>
      <w:tr w:rsidR="00AE0ABC" w:rsidRPr="00D17C45" w14:paraId="2FBB0A82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0A37E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  <w:p w14:paraId="038CD7A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9714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AE0ABC" w:rsidRPr="00D17C45" w14:paraId="43C0AA05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ED7A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a)</w:t>
            </w:r>
          </w:p>
          <w:p w14:paraId="43F4AF0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BC60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Description of the financial instrument, type of instrument</w:t>
            </w:r>
          </w:p>
          <w:p w14:paraId="1C1911FA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Identification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35AF9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Ordinary Shares of £0.01 each</w:t>
            </w:r>
          </w:p>
          <w:p w14:paraId="2F55A9F2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  <w:p w14:paraId="04657831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ISIN: GB00BLNMLS43</w:t>
            </w:r>
          </w:p>
        </w:tc>
      </w:tr>
      <w:tr w:rsidR="00AE0ABC" w:rsidRPr="00D17C45" w14:paraId="7B36E3DE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4760D3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A64C8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Nature of the transaction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9163D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Acquisition of shares</w:t>
            </w:r>
          </w:p>
        </w:tc>
      </w:tr>
      <w:tr w:rsidR="00AE0ABC" w:rsidRPr="00D17C45" w14:paraId="62171558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0C752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B381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Price(s) and volume(s)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400"/>
            </w:tblGrid>
            <w:tr w:rsidR="00AE0ABC" w:rsidRPr="00AC36F0" w14:paraId="07B8D8E0" w14:textId="77777777" w:rsidTr="001549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23464F" w14:textId="3EA9416B" w:rsidR="00AE0ABC" w:rsidRPr="00772000" w:rsidRDefault="00AE0ABC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> Price</w:t>
                  </w:r>
                </w:p>
              </w:tc>
              <w:tc>
                <w:tcPr>
                  <w:tcW w:w="0" w:type="auto"/>
                  <w:hideMark/>
                </w:tcPr>
                <w:p w14:paraId="014D2609" w14:textId="77777777" w:rsidR="00AE0ABC" w:rsidRPr="00772000" w:rsidRDefault="00AE0ABC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No. of shares </w:t>
                  </w:r>
                </w:p>
              </w:tc>
            </w:tr>
            <w:tr w:rsidR="00AE0ABC" w:rsidRPr="00AC36F0" w14:paraId="5661205F" w14:textId="77777777" w:rsidTr="001549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64C64B" w14:textId="3052A2FB" w:rsidR="00033E0E" w:rsidRPr="00772000" w:rsidRDefault="00AE0ABC" w:rsidP="00762BD6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> </w:t>
                  </w:r>
                  <w:r w:rsidR="00A85167">
                    <w:rPr>
                      <w:rFonts w:eastAsia="Times New Roman" w:cstheme="minorHAnsi"/>
                      <w:color w:val="000000"/>
                      <w:lang w:eastAsia="en-GB"/>
                    </w:rPr>
                    <w:t>4.266</w:t>
                  </w:r>
                  <w:r w:rsidR="00AC36F0" w:rsidRPr="00772000">
                    <w:rPr>
                      <w:rFonts w:eastAsia="Times New Roman" w:cstheme="minorHAnsi"/>
                      <w:color w:val="000000"/>
                      <w:lang w:eastAsia="en-GB"/>
                    </w:rPr>
                    <w:t>p</w:t>
                  </w:r>
                </w:p>
              </w:tc>
              <w:tc>
                <w:tcPr>
                  <w:tcW w:w="0" w:type="auto"/>
                  <w:hideMark/>
                </w:tcPr>
                <w:p w14:paraId="0A180414" w14:textId="3731178D" w:rsidR="00AE0ABC" w:rsidRPr="00772000" w:rsidRDefault="00033E0E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22</w:t>
                  </w:r>
                  <w:r w:rsidR="00D05A32" w:rsidRPr="00772000">
                    <w:rPr>
                      <w:rFonts w:eastAsia="Times New Roman" w:cstheme="minorHAnsi"/>
                      <w:lang w:eastAsia="en-GB"/>
                    </w:rPr>
                    <w:t>,</w:t>
                  </w:r>
                  <w:r w:rsidR="000216D1" w:rsidRPr="00772000">
                    <w:rPr>
                      <w:rFonts w:eastAsia="Times New Roman" w:cstheme="minorHAnsi"/>
                      <w:lang w:eastAsia="en-GB"/>
                    </w:rPr>
                    <w:t>0</w:t>
                  </w:r>
                  <w:r w:rsidR="00D05A32" w:rsidRPr="00772000">
                    <w:rPr>
                      <w:rFonts w:eastAsia="Times New Roman" w:cstheme="minorHAnsi"/>
                      <w:lang w:eastAsia="en-GB"/>
                    </w:rPr>
                    <w:t>00</w:t>
                  </w:r>
                </w:p>
              </w:tc>
            </w:tr>
            <w:tr w:rsidR="002F3E2B" w:rsidRPr="00AC36F0" w14:paraId="232E2151" w14:textId="77777777" w:rsidTr="00154911">
              <w:trPr>
                <w:tblCellSpacing w:w="0" w:type="dxa"/>
              </w:trPr>
              <w:tc>
                <w:tcPr>
                  <w:tcW w:w="0" w:type="auto"/>
                </w:tcPr>
                <w:p w14:paraId="1AF0697E" w14:textId="6737BAF9" w:rsidR="002F3E2B" w:rsidRPr="00772000" w:rsidRDefault="002F3E2B" w:rsidP="00762BD6">
                  <w:pPr>
                    <w:spacing w:after="27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5.2p</w:t>
                  </w:r>
                </w:p>
              </w:tc>
              <w:tc>
                <w:tcPr>
                  <w:tcW w:w="0" w:type="auto"/>
                </w:tcPr>
                <w:p w14:paraId="140BC917" w14:textId="3774C3C6" w:rsidR="002F3E2B" w:rsidRDefault="002F3E2B" w:rsidP="00B2285E">
                  <w:pPr>
                    <w:spacing w:after="27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30,000</w:t>
                  </w:r>
                </w:p>
              </w:tc>
            </w:tr>
          </w:tbl>
          <w:p w14:paraId="6723C3B0" w14:textId="77777777" w:rsidR="00AE0ABC" w:rsidRPr="00772000" w:rsidRDefault="00AE0ABC" w:rsidP="00B2285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AE0ABC" w:rsidRPr="00D17C45" w14:paraId="5105FB3E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ACC1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3DF74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Aggregated information</w:t>
            </w:r>
          </w:p>
          <w:p w14:paraId="36F023DB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Aggregated volume</w:t>
            </w:r>
          </w:p>
          <w:p w14:paraId="359C63AC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Price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A89287" w14:textId="77777777" w:rsidR="00AE0ABC" w:rsidRPr="00772000" w:rsidRDefault="00AE0ABC" w:rsidP="00B2285E">
            <w:pPr>
              <w:spacing w:after="270" w:line="240" w:lineRule="auto"/>
              <w:rPr>
                <w:rFonts w:eastAsia="Times New Roman" w:cstheme="minorHAnsi"/>
                <w:lang w:eastAsia="en-GB"/>
              </w:rPr>
            </w:pPr>
            <w:r w:rsidRPr="0077200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14:paraId="1D0A251A" w14:textId="15B1D5B4" w:rsidR="00AE0ABC" w:rsidRPr="00772000" w:rsidRDefault="00AE0ABC" w:rsidP="00B2285E">
            <w:pPr>
              <w:spacing w:after="270" w:line="240" w:lineRule="auto"/>
              <w:rPr>
                <w:rFonts w:cstheme="minorHAnsi"/>
                <w:color w:val="000000"/>
              </w:rPr>
            </w:pPr>
            <w:r w:rsidRPr="00772000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2F3E2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A773D7"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="005161B7">
              <w:rPr>
                <w:rFonts w:eastAsia="Times New Roman" w:cstheme="minorHAnsi"/>
                <w:color w:val="000000"/>
                <w:lang w:eastAsia="en-GB"/>
              </w:rPr>
              <w:t>2</w:t>
            </w:r>
            <w:r w:rsidR="00B34A81" w:rsidRPr="00772000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="000216D1" w:rsidRPr="00772000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B34A81" w:rsidRPr="00772000">
              <w:rPr>
                <w:rFonts w:eastAsia="Times New Roman" w:cstheme="minorHAnsi"/>
                <w:color w:val="000000"/>
                <w:lang w:eastAsia="en-GB"/>
              </w:rPr>
              <w:t>00</w:t>
            </w:r>
          </w:p>
          <w:p w14:paraId="293E2B0B" w14:textId="230A3FC5" w:rsidR="00AE0ABC" w:rsidRPr="00772000" w:rsidRDefault="00AE0ABC" w:rsidP="00B2285E">
            <w:pPr>
              <w:spacing w:after="270" w:line="240" w:lineRule="auto"/>
              <w:rPr>
                <w:rFonts w:eastAsia="Times New Roman" w:cstheme="minorHAnsi"/>
                <w:lang w:eastAsia="en-GB"/>
              </w:rPr>
            </w:pPr>
            <w:r w:rsidRPr="00772000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3C472B" w:rsidRPr="007720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2F3E2B">
              <w:rPr>
                <w:rFonts w:eastAsia="Times New Roman" w:cstheme="minorHAnsi"/>
                <w:color w:val="000000"/>
                <w:lang w:eastAsia="en-GB"/>
              </w:rPr>
              <w:t>Average price – 4.733p</w:t>
            </w:r>
          </w:p>
        </w:tc>
      </w:tr>
      <w:tr w:rsidR="00AE0ABC" w:rsidRPr="00D17C45" w14:paraId="4611B8E1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466D7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A46D6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Date of the transaction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C359F" w14:textId="3A46454C" w:rsidR="00AE0ABC" w:rsidRPr="00D17C45" w:rsidRDefault="00FB32B9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</w:t>
            </w:r>
            <w:r w:rsidR="00127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  <w:r w:rsidR="00561DF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January</w:t>
            </w:r>
            <w:r w:rsidR="00AE0ABC"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20</w:t>
            </w:r>
            <w:r w:rsidR="00AC1F1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</w:tr>
      <w:tr w:rsidR="00AE0ABC" w:rsidRPr="00D17C45" w14:paraId="0BBCDCDC" w14:textId="77777777" w:rsidTr="00B2285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E5858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022F" w14:textId="77777777" w:rsidR="00AE0ABC" w:rsidRPr="00D17C45" w:rsidRDefault="00AE0ABC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17C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Place of the transaction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09339" w14:textId="776EA067" w:rsidR="00AE0ABC" w:rsidRPr="00D17C45" w:rsidRDefault="0012005F" w:rsidP="00B2285E">
            <w:pPr>
              <w:spacing w:after="27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Stock Exchange</w:t>
            </w:r>
          </w:p>
        </w:tc>
      </w:tr>
    </w:tbl>
    <w:p w14:paraId="67718DA8" w14:textId="77777777" w:rsidR="00AE0ABC" w:rsidRDefault="00AE0ABC" w:rsidP="00AE0ABC"/>
    <w:sectPr w:rsidR="00AE0ABC" w:rsidSect="00EA3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7CF"/>
    <w:multiLevelType w:val="hybridMultilevel"/>
    <w:tmpl w:val="7310B4F4"/>
    <w:lvl w:ilvl="0" w:tplc="E976F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45"/>
    <w:rsid w:val="00003E1F"/>
    <w:rsid w:val="00004EC0"/>
    <w:rsid w:val="00013A6E"/>
    <w:rsid w:val="000216D1"/>
    <w:rsid w:val="00022696"/>
    <w:rsid w:val="000232E7"/>
    <w:rsid w:val="00031A73"/>
    <w:rsid w:val="00033E0E"/>
    <w:rsid w:val="000511C9"/>
    <w:rsid w:val="00073209"/>
    <w:rsid w:val="00087BCB"/>
    <w:rsid w:val="000C5E3B"/>
    <w:rsid w:val="000D4FCD"/>
    <w:rsid w:val="000E289F"/>
    <w:rsid w:val="00105A7E"/>
    <w:rsid w:val="00113129"/>
    <w:rsid w:val="0012005F"/>
    <w:rsid w:val="0012749D"/>
    <w:rsid w:val="00141353"/>
    <w:rsid w:val="00145284"/>
    <w:rsid w:val="00154911"/>
    <w:rsid w:val="0016126F"/>
    <w:rsid w:val="0016159A"/>
    <w:rsid w:val="00172BA0"/>
    <w:rsid w:val="001C063C"/>
    <w:rsid w:val="001C2480"/>
    <w:rsid w:val="001E7724"/>
    <w:rsid w:val="00202BF1"/>
    <w:rsid w:val="00203617"/>
    <w:rsid w:val="00233A36"/>
    <w:rsid w:val="00252916"/>
    <w:rsid w:val="00257F7E"/>
    <w:rsid w:val="002673BA"/>
    <w:rsid w:val="00292720"/>
    <w:rsid w:val="002A10FE"/>
    <w:rsid w:val="002F3E2B"/>
    <w:rsid w:val="002F4C43"/>
    <w:rsid w:val="0035678C"/>
    <w:rsid w:val="00383FBF"/>
    <w:rsid w:val="00390AFC"/>
    <w:rsid w:val="003945D5"/>
    <w:rsid w:val="003A2B73"/>
    <w:rsid w:val="003C223D"/>
    <w:rsid w:val="003C472B"/>
    <w:rsid w:val="00431CE2"/>
    <w:rsid w:val="00474FBA"/>
    <w:rsid w:val="004956EA"/>
    <w:rsid w:val="00496F7D"/>
    <w:rsid w:val="004A5B45"/>
    <w:rsid w:val="004B4FA0"/>
    <w:rsid w:val="004F2104"/>
    <w:rsid w:val="004F7137"/>
    <w:rsid w:val="0050367C"/>
    <w:rsid w:val="005161B7"/>
    <w:rsid w:val="0051729D"/>
    <w:rsid w:val="00546414"/>
    <w:rsid w:val="00561DF0"/>
    <w:rsid w:val="0057144B"/>
    <w:rsid w:val="00594C0E"/>
    <w:rsid w:val="005B22B4"/>
    <w:rsid w:val="005E2DCE"/>
    <w:rsid w:val="005E607E"/>
    <w:rsid w:val="005E6647"/>
    <w:rsid w:val="006056B9"/>
    <w:rsid w:val="00621179"/>
    <w:rsid w:val="00651170"/>
    <w:rsid w:val="00671BE9"/>
    <w:rsid w:val="00677197"/>
    <w:rsid w:val="00686375"/>
    <w:rsid w:val="0068665D"/>
    <w:rsid w:val="00693DFD"/>
    <w:rsid w:val="00694DC2"/>
    <w:rsid w:val="006C52FE"/>
    <w:rsid w:val="006E0B9A"/>
    <w:rsid w:val="006E4EE6"/>
    <w:rsid w:val="00717641"/>
    <w:rsid w:val="00762BD6"/>
    <w:rsid w:val="00772000"/>
    <w:rsid w:val="00810A80"/>
    <w:rsid w:val="00816DB9"/>
    <w:rsid w:val="00862577"/>
    <w:rsid w:val="00863333"/>
    <w:rsid w:val="00873B83"/>
    <w:rsid w:val="008A3871"/>
    <w:rsid w:val="008C173C"/>
    <w:rsid w:val="008D735C"/>
    <w:rsid w:val="008E5E86"/>
    <w:rsid w:val="00904AA8"/>
    <w:rsid w:val="0091153C"/>
    <w:rsid w:val="00922CD9"/>
    <w:rsid w:val="00924CFA"/>
    <w:rsid w:val="00931BD5"/>
    <w:rsid w:val="009431D4"/>
    <w:rsid w:val="00947E60"/>
    <w:rsid w:val="00964E8F"/>
    <w:rsid w:val="0099016E"/>
    <w:rsid w:val="009927B9"/>
    <w:rsid w:val="009B7996"/>
    <w:rsid w:val="009C6043"/>
    <w:rsid w:val="009D4990"/>
    <w:rsid w:val="009F1C25"/>
    <w:rsid w:val="00A00F43"/>
    <w:rsid w:val="00A274BE"/>
    <w:rsid w:val="00A40F6A"/>
    <w:rsid w:val="00A41987"/>
    <w:rsid w:val="00A56A57"/>
    <w:rsid w:val="00A773D7"/>
    <w:rsid w:val="00A85167"/>
    <w:rsid w:val="00AC1F1B"/>
    <w:rsid w:val="00AC36F0"/>
    <w:rsid w:val="00AE0ABC"/>
    <w:rsid w:val="00B137BE"/>
    <w:rsid w:val="00B2106F"/>
    <w:rsid w:val="00B34A81"/>
    <w:rsid w:val="00B34E16"/>
    <w:rsid w:val="00B42837"/>
    <w:rsid w:val="00B44EA6"/>
    <w:rsid w:val="00B46D57"/>
    <w:rsid w:val="00B82A7C"/>
    <w:rsid w:val="00BB2770"/>
    <w:rsid w:val="00BD1B2B"/>
    <w:rsid w:val="00BD7D7B"/>
    <w:rsid w:val="00BE1D0B"/>
    <w:rsid w:val="00C0798F"/>
    <w:rsid w:val="00C753BA"/>
    <w:rsid w:val="00C80530"/>
    <w:rsid w:val="00C83E4E"/>
    <w:rsid w:val="00C8441A"/>
    <w:rsid w:val="00CD0137"/>
    <w:rsid w:val="00CD7D22"/>
    <w:rsid w:val="00CE1365"/>
    <w:rsid w:val="00CE33CE"/>
    <w:rsid w:val="00CF28F7"/>
    <w:rsid w:val="00D05A32"/>
    <w:rsid w:val="00D17C45"/>
    <w:rsid w:val="00D47A2D"/>
    <w:rsid w:val="00D84FBE"/>
    <w:rsid w:val="00D85ABE"/>
    <w:rsid w:val="00DA2137"/>
    <w:rsid w:val="00DD327D"/>
    <w:rsid w:val="00E32218"/>
    <w:rsid w:val="00E408D2"/>
    <w:rsid w:val="00E725DC"/>
    <w:rsid w:val="00E76274"/>
    <w:rsid w:val="00E947B4"/>
    <w:rsid w:val="00EA3C25"/>
    <w:rsid w:val="00EA638A"/>
    <w:rsid w:val="00EC3D23"/>
    <w:rsid w:val="00ED1CD6"/>
    <w:rsid w:val="00EF4668"/>
    <w:rsid w:val="00F015C8"/>
    <w:rsid w:val="00F065FB"/>
    <w:rsid w:val="00F165CA"/>
    <w:rsid w:val="00F16E15"/>
    <w:rsid w:val="00F25B7A"/>
    <w:rsid w:val="00F43347"/>
    <w:rsid w:val="00F54961"/>
    <w:rsid w:val="00F61E46"/>
    <w:rsid w:val="00F664F0"/>
    <w:rsid w:val="00F7016A"/>
    <w:rsid w:val="00F824A0"/>
    <w:rsid w:val="00F94B3E"/>
    <w:rsid w:val="00FA0843"/>
    <w:rsid w:val="00FB32B9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1D08"/>
  <w15:docId w15:val="{036EB364-1A5A-46D2-A1FC-645FDEE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">
    <w:name w:val="ag"/>
    <w:basedOn w:val="Normal"/>
    <w:rsid w:val="00D17C45"/>
    <w:pPr>
      <w:spacing w:after="160" w:line="256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ah">
    <w:name w:val="ah"/>
    <w:basedOn w:val="Normal"/>
    <w:rsid w:val="00D17C45"/>
    <w:pPr>
      <w:spacing w:after="160" w:line="256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">
    <w:name w:val="a"/>
    <w:basedOn w:val="Normal"/>
    <w:rsid w:val="00D17C45"/>
    <w:pPr>
      <w:spacing w:after="160" w:line="256" w:lineRule="auto"/>
    </w:pPr>
    <w:rPr>
      <w:rFonts w:ascii="Calibri" w:eastAsia="Times New Roman" w:hAnsi="Calibri" w:cs="Times New Roman"/>
      <w:lang w:eastAsia="en-GB"/>
    </w:rPr>
  </w:style>
  <w:style w:type="paragraph" w:customStyle="1" w:styleId="ai">
    <w:name w:val="ai"/>
    <w:basedOn w:val="Normal"/>
    <w:rsid w:val="00D17C45"/>
    <w:pPr>
      <w:spacing w:after="160" w:line="256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ak">
    <w:name w:val="ak"/>
    <w:basedOn w:val="Normal"/>
    <w:rsid w:val="00D17C4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d">
    <w:name w:val="d"/>
    <w:basedOn w:val="Normal"/>
    <w:rsid w:val="00D17C45"/>
    <w:pPr>
      <w:spacing w:after="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m">
    <w:name w:val="am"/>
    <w:basedOn w:val="Normal"/>
    <w:rsid w:val="00D17C45"/>
    <w:pPr>
      <w:spacing w:after="0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an">
    <w:name w:val="an"/>
    <w:basedOn w:val="Normal"/>
    <w:rsid w:val="00D17C45"/>
    <w:pPr>
      <w:spacing w:after="27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p">
    <w:name w:val="ap"/>
    <w:basedOn w:val="Normal"/>
    <w:rsid w:val="00D17C45"/>
    <w:pPr>
      <w:spacing w:after="27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al">
    <w:name w:val="al"/>
    <w:basedOn w:val="DefaultParagraphFont"/>
    <w:rsid w:val="00D17C45"/>
    <w:rPr>
      <w:b/>
      <w:bCs/>
    </w:rPr>
  </w:style>
  <w:style w:type="character" w:customStyle="1" w:styleId="w">
    <w:name w:val="w"/>
    <w:basedOn w:val="DefaultParagraphFont"/>
    <w:rsid w:val="00D17C45"/>
    <w:rPr>
      <w:rFonts w:ascii="Arial" w:hAnsi="Arial" w:cs="Arial" w:hint="default"/>
      <w:color w:val="000000"/>
      <w:sz w:val="20"/>
      <w:szCs w:val="20"/>
    </w:rPr>
  </w:style>
  <w:style w:type="character" w:customStyle="1" w:styleId="u">
    <w:name w:val="u"/>
    <w:basedOn w:val="DefaultParagraphFont"/>
    <w:rsid w:val="00D17C45"/>
    <w:rPr>
      <w:rFonts w:ascii="Arial" w:hAnsi="Arial" w:cs="Arial" w:hint="default"/>
      <w:color w:val="000000"/>
      <w:sz w:val="20"/>
      <w:szCs w:val="20"/>
    </w:rPr>
  </w:style>
  <w:style w:type="character" w:customStyle="1" w:styleId="e">
    <w:name w:val="e"/>
    <w:basedOn w:val="DefaultParagraphFont"/>
    <w:rsid w:val="00D17C45"/>
  </w:style>
  <w:style w:type="character" w:customStyle="1" w:styleId="xn-money">
    <w:name w:val="xn-money"/>
    <w:basedOn w:val="DefaultParagraphFont"/>
    <w:rsid w:val="00D17C45"/>
  </w:style>
  <w:style w:type="paragraph" w:customStyle="1" w:styleId="ao">
    <w:name w:val="ao"/>
    <w:basedOn w:val="Normal"/>
    <w:rsid w:val="00C0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41"/>
    <w:rPr>
      <w:rFonts w:ascii="Segoe UI" w:hAnsi="Segoe UI" w:cs="Segoe UI"/>
      <w:sz w:val="18"/>
      <w:szCs w:val="18"/>
    </w:rPr>
  </w:style>
  <w:style w:type="paragraph" w:customStyle="1" w:styleId="bd">
    <w:name w:val="bd"/>
    <w:basedOn w:val="Normal"/>
    <w:rsid w:val="008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">
    <w:name w:val="be"/>
    <w:basedOn w:val="Normal"/>
    <w:rsid w:val="008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23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c56c4-cf8c-42c0-bade-e60a11d5f269">
      <Terms xmlns="http://schemas.microsoft.com/office/infopath/2007/PartnerControls"/>
    </lcf76f155ced4ddcb4097134ff3c332f>
    <TaxCatchAll xmlns="840f23b3-cc65-48ae-9dcb-5f349891d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2EE9C542FD4FBE7E810F7D2DBE0F" ma:contentTypeVersion="16" ma:contentTypeDescription="Create a new document." ma:contentTypeScope="" ma:versionID="b96ceb470498b846bcb06778e177967d">
  <xsd:schema xmlns:xsd="http://www.w3.org/2001/XMLSchema" xmlns:xs="http://www.w3.org/2001/XMLSchema" xmlns:p="http://schemas.microsoft.com/office/2006/metadata/properties" xmlns:ns2="cdac56c4-cf8c-42c0-bade-e60a11d5f269" xmlns:ns3="840f23b3-cc65-48ae-9dcb-5f349891dda5" targetNamespace="http://schemas.microsoft.com/office/2006/metadata/properties" ma:root="true" ma:fieldsID="4886c8c72df01bb76444056f44f7783e" ns2:_="" ns3:_="">
    <xsd:import namespace="cdac56c4-cf8c-42c0-bade-e60a11d5f269"/>
    <xsd:import namespace="840f23b3-cc65-48ae-9dcb-5f349891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56c4-cf8c-42c0-bade-e60a11d5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79cd27-9b19-4867-b5ec-5d556ca4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23b3-cc65-48ae-9dcb-5f349891d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2580a6-9293-47e7-ba19-843a098d564c}" ma:internalName="TaxCatchAll" ma:showField="CatchAllData" ma:web="840f23b3-cc65-48ae-9dcb-5f349891d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63C7D-2C5C-4F4F-B416-4A229AEE38BA}">
  <ds:schemaRefs>
    <ds:schemaRef ds:uri="http://schemas.microsoft.com/office/2006/metadata/properties"/>
    <ds:schemaRef ds:uri="http://schemas.microsoft.com/office/infopath/2007/PartnerControls"/>
    <ds:schemaRef ds:uri="cdac56c4-cf8c-42c0-bade-e60a11d5f269"/>
    <ds:schemaRef ds:uri="840f23b3-cc65-48ae-9dcb-5f349891dda5"/>
  </ds:schemaRefs>
</ds:datastoreItem>
</file>

<file path=customXml/itemProps2.xml><?xml version="1.0" encoding="utf-8"?>
<ds:datastoreItem xmlns:ds="http://schemas.openxmlformats.org/officeDocument/2006/customXml" ds:itemID="{81A961F1-CFAC-46E1-A71A-CDE8DD46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BA50A-26B1-46F8-938C-68582483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c56c4-cf8c-42c0-bade-e60a11d5f269"/>
    <ds:schemaRef ds:uri="840f23b3-cc65-48ae-9dcb-5f349891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william.vandyk</dc:creator>
  <cp:lastModifiedBy>Katy Wickings</cp:lastModifiedBy>
  <cp:revision>3</cp:revision>
  <cp:lastPrinted>2018-04-16T10:55:00Z</cp:lastPrinted>
  <dcterms:created xsi:type="dcterms:W3CDTF">2024-01-08T10:16:00Z</dcterms:created>
  <dcterms:modified xsi:type="dcterms:W3CDTF">2024-01-08T10:18:00Z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0x01010051402EE9C542FD4FBE7E810F7D2DBE0F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